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https://www.cnmc.es/expedientes/c092318</w:t>
      </w:r>
    </w:p>
    <w:p>
      <w:r>
        <w:t>Pages translated : 2</w:t>
      </w:r>
    </w:p>
    <w:p/>
    <w:p>
      <w:r>
        <w:rPr>
          <w:b/>
        </w:rPr>
        <w:t>[Pages 1–2]</w:t>
      </w:r>
    </w:p>
    <w:p>
      <w:r>
        <w:t>RESOLUTION</w:t>
        <w:br/>
        <w:t>File No. C/0923/18 AUDAX GROUP / UNIELECTRICA GROUP</w:t>
        <w:br/>
        <w:t>COMPETITION CHAMBER</w:t>
        <w:br/>
        <w:t>President</w:t>
        <w:br/>
        <w:t>Mr. José María Marín Quemada</w:t>
        <w:br/>
        <w:t>Counselors</w:t>
        <w:br/>
        <w:t>Ms. María Ortiz Aguilar</w:t>
        <w:br/>
        <w:t>Mr. Josep Maria Guinart Solà</w:t>
        <w:br/>
        <w:t>Ms. Clotilde de la Higuera González</w:t>
        <w:br/>
        <w:t>Ms. María Pilar Canedo Arrillaga</w:t>
        <w:br/>
        <w:t>Secretary of the Council</w:t>
        <w:br/>
        <w:t>Mr. Joaquim Hortalà i Vallvé</w:t>
        <w:br/>
        <w:t>In Barcelona, on March 8, 2018</w:t>
        <w:br/>
        <w:t>Having reviewed the file processed in accordance with Law 15/2007, of July 3, on the Defense of Competition, notification of the economic concentration operation consisting of the acquisition of exclusive control of the UNIELECTRICA GROUP by the AUDAX GROUP, through the vehicle company ERYX INVESTMENTS 2017, S.L.U.,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w:t>
        <w:br/>
        <w:t>Furthermore, and taking into account the Communication from the European Commission on restrictions directly linked to the execution of a concentration and necessary for that purpose (2005/C 56/03) and the practice of national competition authorities, this Competition Chamber considers that the duration of non-competition agreements, confidentiality, and the continuity agreement in maintaining the software, to the extent that they exceed what is indicated in the aforementioned Communication, as well as any restriction that exceeds the products and services as well as the geographical scope in which the acquired entity carried out its activity or that restricts the acquisition or holding of shares in a company, whether or not it competes with the acquired company, for exclusively financial investment purposes that do not confer directly or indirectly management functions or substantial influence in the competing company, must be subject to the regulations on agreements between companies. All of this in accordance with what is indicated in the aforementioned report proposal from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