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https://www.cnmc.es/expedientes/c092418</w:t>
      </w:r>
    </w:p>
    <w:p>
      <w:r>
        <w:t>Pages translated : 1</w:t>
      </w:r>
    </w:p>
    <w:p/>
    <w:p>
      <w:r>
        <w:rPr>
          <w:b/>
        </w:rPr>
        <w:t>[Pages 1–1]</w:t>
      </w:r>
    </w:p>
    <w:p>
      <w:r>
        <w:t>RESOLUTION</w:t>
        <w:br/>
        <w:t>File No. C/0924/18 RANA/NESTLÉ</w:t>
        <w:br/>
        <w:t>COMPETITION CHAMBER</w:t>
        <w:br/>
        <w:t>President</w:t>
        <w:br/>
        <w:t>Mr. José María Marín Quemada</w:t>
        <w:br/>
        <w:t>Counselors</w:t>
        <w:br/>
        <w:t>Ms. María Ortiz Aguilar</w:t>
        <w:br/>
        <w:t>Mr. José María Guinart Solà</w:t>
        <w:br/>
        <w:t>Ms. Clotilde de la Higuera González</w:t>
        <w:br/>
        <w:t>Ms. María Pilar Canedo Arrillaga</w:t>
        <w:br/>
        <w:t>Secretary of the Council</w:t>
        <w:br/>
        <w:t>Mr. Joaquim Hortalà i Vallvé</w:t>
        <w:br/>
        <w:t>In Madrid, on April 12, 2018</w:t>
        <w:br/>
        <w:t xml:space="preserve">The Competition Chamber has analyzed the merger file processed in accordance with Law 15/2007, of July 3, on the Defense of Competition, consisting of the acquisition by the Italian company PASTIFICIO RANA S.p.A of the productive assets of the fresh pasta and sauce business area owned by the Italian subsidiary of the NESTLÉ group, NESTLÉ ITALIANA S.p.A, as well as the signing of an exclusive license agreement for a period of 12 years for the use of the brand owned by NESTLÉ Buitoni, included in the scope of the proposed merger operation, and giving rise to this notification to file C/0924/18. In accordance with the report and proposal submitted by the Competition Directorate, the Competition Chamber has resolved, under the application of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