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https://www.cnmc.es/expedientes/c092518</w:t>
      </w:r>
    </w:p>
    <w:p>
      <w:r>
        <w:t>Pages translated : 2</w:t>
      </w:r>
    </w:p>
    <w:p/>
    <w:p>
      <w:r>
        <w:rPr>
          <w:b/>
        </w:rPr>
        <w:t>[Pages 1–2]</w:t>
      </w:r>
    </w:p>
    <w:p>
      <w:r>
        <w:t>RESOLUTION</w:t>
        <w:br/>
        <w:t>File No. C/0925/18 RECORDATI/MYLAN</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on March 22, 2018</w:t>
        <w:br/>
        <w:t xml:space="preserve">The Competition Chamber has analyzed the concentration file processed in accordance with Law 15/2007, of July 3, on the Defense of Competition, consisting of the acquisition by ORPHAN EUROPE S.A.R.L., a subsidiary of RECORDATI INDUSTRIA CHIMICA E FARMACEUTICA S.P.A., of exclusive control over a series of assets necessary for the manufacture and commercialization of an orphan drug, called Cystagon, in all countries of the world except the United States, Australia, and Japan. In accordance with the report and proposal submitted by the Directorate of Competition, the Competition Chamber has resolved, in application of Article 57.2.a) of the aforementioned Law 15/2007, of July 3, to authorize the said concentration operation. </w:t>
        <w:br/>
        <w:t>However, and taking into account the Communication from the European Commission regarding restrictions directly linked to the execution of a concentration and necessary for that purpose (2005/C 56/03) and the practice of national competition authorities, this Competition Chamber considers that in relation to the transitional agreements for manufacturing and supply, anything that goes beyond what is established in the Communication, regarding quantities and time period, is not necessary or accessory for achieving the same, and is therefore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