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https://www.cnmc.es/expedientes/c092618</w:t>
      </w:r>
    </w:p>
    <w:p>
      <w:r>
        <w:t>Pages translated : 1</w:t>
      </w:r>
    </w:p>
    <w:p/>
    <w:p>
      <w:r>
        <w:rPr>
          <w:b/>
        </w:rPr>
        <w:t>[Pages 1–1]</w:t>
      </w:r>
    </w:p>
    <w:p>
      <w:r>
        <w:t>RESOLUTION</w:t>
        <w:br/>
        <w:t>File No. C/0926/18 HIDROELÉCTRICA DEL CABRERA/SALTOS DEL CABRERA</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on March 22, 2018</w:t>
      </w:r>
    </w:p>
    <w:p>
      <w:r>
        <w:t>The Competition Chamber has analyzed the concentration file processed in accordance with Law 15/2007, of July 3, on the Defense of Competition, consisting of the acquisition by HIDROELÉCTRICA DEL CABRERA, S.L. of 50% of the shares of the company SALTOS DEL CABRERA, S.L., previously held by the family formed by Ms. Rosario Mallo López and her children Ms. María Jesús and Mr. Ángel Mallo Rodríguez. In accordance with the report and the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