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https://www.cnmc.es/expedientes/c092718</w:t>
      </w:r>
    </w:p>
    <w:p>
      <w:r>
        <w:t>Pages translated : 1</w:t>
      </w:r>
    </w:p>
    <w:p/>
    <w:p>
      <w:r>
        <w:rPr>
          <w:b/>
        </w:rPr>
        <w:t>[Pages 1–1]</w:t>
      </w:r>
    </w:p>
    <w:p>
      <w:r>
        <w:t>RESOLUTION</w:t>
        <w:br/>
        <w:t>File No. C/0927/18 KSCM/ARES COMPANIES</w:t>
        <w:br/>
        <w:t>COMPETITION CHAMBER</w:t>
        <w:br/>
        <w:t>President</w:t>
        <w:br/>
        <w:t>Mr. José María Marín Quemada</w:t>
        <w:br/>
        <w:t>Counselors</w:t>
        <w:br/>
        <w:t>Ms. María Ortiz Aguilar</w:t>
        <w:br/>
        <w:t>Mr. José María Guinart Solà</w:t>
        <w:br/>
        <w:t>Ms. Clotilde de la Higuera González</w:t>
        <w:br/>
        <w:t>Ms. María Pilar Canedo Arrillaga</w:t>
        <w:br/>
        <w:t>Secretary of the Council</w:t>
        <w:br/>
        <w:t>Mr. Joaquim Hortalà i Vallvé</w:t>
        <w:br/>
        <w:t>In Madrid, on April 5, 2018</w:t>
        <w:br/>
        <w:t xml:space="preserve">The Competition Chamber has analyzed the concentration file processed in accordance with Law 15/2007, of July 3, on the Defense of Competition, consisting of the acquisition by KING STREET CAPITAL MANAGEMENT L.P. of exclusive control of ARES CAPITAL, S.A. and AEROCITY, S.L. (jointly ARES COMPANIES) through the purchase of 100% of their share capital. In accordance with the Report and the proposal submitted by the Competition Directorate, the Competition Chamber has resolved, applying Article 57.2.a) of the aforementioned Law 15/2007, of July 3, to authorize the said concentration operation. </w:t>
        <w:br/>
        <w:t>This Resolution shall be communicated to the Competition Directorate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