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https://www.cnmc.es/expedientes/c092818</w:t>
      </w:r>
    </w:p>
    <w:p>
      <w:r>
        <w:t>Pages translated : 2</w:t>
      </w:r>
    </w:p>
    <w:p/>
    <w:p>
      <w:r>
        <w:rPr>
          <w:b/>
        </w:rPr>
        <w:t>[Pages 1–2]</w:t>
      </w:r>
    </w:p>
    <w:p>
      <w:r>
        <w:t>RESOLUTION</w:t>
        <w:br/>
        <w:t>File No. C/0928/18 GRUPO CATALANA OCCIDENTE/ACQUIRED COMPANIES</w:t>
        <w:br/>
        <w:t>COMPETITION CHAMBER</w:t>
        <w:br/>
        <w:t>President</w:t>
        <w:br/>
        <w:t>Mr. José María Marín Quemada</w:t>
        <w:br/>
        <w:t>Counselors</w:t>
        <w:br/>
        <w:t>Ms. María Ortiz Aguilar</w:t>
        <w:br/>
        <w:t>Mr. José María Guinart Solà</w:t>
        <w:br/>
        <w:t>Ms. Clotilde de la Higuera González</w:t>
        <w:br/>
        <w:t>Ms. María Pilar Canedo Arrillaga</w:t>
        <w:br/>
        <w:t>Secretary of the Council</w:t>
        <w:br/>
        <w:t>Mr. Joaquim Hortalà i Vallvé</w:t>
        <w:br/>
        <w:t>In Madrid, on April 12, 2018</w:t>
        <w:br/>
        <w:t xml:space="preserve">The Competition Chamber has analyzed the concentration file processed in accordance with Law 15/2007, of July 3, on the Defense of Competition, consisting of the indirect exclusive control acquisition by GRUPO CATALANA OCCIDENTE, S.A., through the acquisition of 100% of the share capital of four companies belonging to the Diéguez family: FUNERARIA NUESTRA SEÑORA DE LOS REMEDIOS, S.L.; LOS REMEDIOS TANATORIO NORTE MADRID, S.L.; SERVICIOS FUNERARIOS CISNEROS, S.L. and MANTENIMIENTO VALDEGOVIA, S.L. In accordance with the report and proposal submitted by the Competition Directorate, the Competition Chamber has resolved, under the application of Article 57.2.a) of the aforementioned Law 15/2007, of July 3, to authorize the aforementioned concentration operation. </w:t>
        <w:br/>
        <w:t>However, and taking into account the legislation and national and community precedents, as well as the Communication from the European Commission regarding restrictions directly linked to the execution of a concentration and necessary for that purpose (2005/C 56/03), the non-competition, non-solicitation, and confidentiality clauses may only be understood as ancillary restrictions during the first two years and limited to the activities and area in which the Acquired Companies provided their services, remaining subject, in their case, to the specific regulations of agreements between companies that exceed that period, scope, and geographical area.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