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https://www.cnmc.es/expedientes/c093018</w:t>
      </w:r>
    </w:p>
    <w:p>
      <w:r>
        <w:t>Pages translated : 2</w:t>
      </w:r>
    </w:p>
    <w:p/>
    <w:p>
      <w:r>
        <w:rPr>
          <w:b/>
        </w:rPr>
        <w:t>[Pages 1–2]</w:t>
      </w:r>
    </w:p>
    <w:p>
      <w:r>
        <w:t>RESOLUTION</w:t>
        <w:br/>
        <w:t>File No. C/0930/18 CONTOURGLOBAL/ACCIONA TERMOSOLAR</w:t>
        <w:br/>
        <w:t>COMPETITION CHAMBER</w:t>
        <w:br/>
        <w:t>President</w:t>
        <w:br/>
        <w:t>Mr. José María Marín Quemada</w:t>
        <w:br/>
        <w:t>Counselors</w:t>
        <w:br/>
        <w:t>Ms. María Ortiz Aguilar</w:t>
        <w:br/>
        <w:t>Mr. José María Guinart Solà</w:t>
        <w:br/>
        <w:t>Ms. Clotilde de la Higuera González</w:t>
        <w:br/>
        <w:t>Ms. María Pilar Canedo Arrillaga</w:t>
        <w:br/>
        <w:t>Secretary of the Council</w:t>
        <w:br/>
        <w:t>Mr. Joaquim Hortalà i Vallvé</w:t>
        <w:br/>
        <w:t>In Madrid, on April 19, 2018</w:t>
        <w:br/>
        <w:t>The Competition Chamber has analyzed the concentration file processed in accordance with Law 15/2007, of July 3, on the Defense of Competition, consisting of the acquisition of exclusive control of ACCIONA TERMOSOLAR S.L.U. by CONTOURGLOBAL MIRROR 2 S.ÀR.L. In accordance with the report and proposal submitted by the Competition Directorate, the Competition Chamber has resolved, pursuant to article 57.2.a) of the aforementioned Law 15/2007, of July 3, to authorize the aforementioned concentration operation.</w:t>
        <w:br/>
        <w:t>However, taking into account the Communication from the European Commission regarding restrictions directly linked to the execution of a concentration and necessary for that purpose (2005/C56/03) and the practice of national competition authorities, this Competition Chamber considers that the non-compete clause, to the extent that it exceeds what is included in the Communication, would go beyond what is reasonable for the achievement of the operation and would not be considered a necessary and ancillary restriction to it and, therefore, is subject to the regulations on agreements between companies.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