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https://www.cnmc.es/expedientes/c093118</w:t>
      </w:r>
    </w:p>
    <w:p>
      <w:r>
        <w:t>Pages translated : 2</w:t>
      </w:r>
    </w:p>
    <w:p/>
    <w:p>
      <w:r>
        <w:rPr>
          <w:b/>
        </w:rPr>
        <w:t>[Pages 1–2]</w:t>
      </w:r>
    </w:p>
    <w:p>
      <w:r>
        <w:t>RESOLUTION</w:t>
        <w:br/>
        <w:t>File No. C/0931/18 WELBILT/CREM</w:t>
        <w:br/>
        <w:t>COMPETITION CHAMBER</w:t>
        <w:br/>
        <w:t>President</w:t>
        <w:br/>
        <w:t>Mr. José María Marín Quemada</w:t>
        <w:br/>
        <w:t>Counselors</w:t>
        <w:br/>
        <w:t>Ms. María Ortiz Aguilar</w:t>
        <w:br/>
        <w:t>Mr. José María Guinart Solà</w:t>
        <w:br/>
        <w:t>Ms. Clotilde de la Higuera González</w:t>
        <w:br/>
        <w:t>Ms. María Pilar Canedo Arrillaga</w:t>
        <w:br/>
        <w:t>Secretary of the Council</w:t>
        <w:br/>
        <w:t>Mr. Joaquim Hortalà i Vallvé</w:t>
        <w:br/>
        <w:t>In Madrid, on April 12, 2018</w:t>
        <w:br/>
        <w:t>The Competition Chamber has analyzed the merger file processed in accordance with Law 15/2007, of July 3, on the Defense of Competition, consisting of the acquisition of exclusive control of CREM INTERNATIONAL HOLDING AB by MANITOWOC FSG UK LIMITED, a company 100% controlled by WELBILT INC. In accordance with the report and proposal submitted by the Competition Directorate, the Competition Chamber has resolved, in application of article 57.2.a) of the aforementioned Law 15/2007, of July 3, to authorize the aforementioned merger operation.</w:t>
        <w:br/>
        <w:t>However, taking into account the Communication from the European Commission regarding restrictions directly linked to the execution of a merger and necessary for that purpose (2005/C 56/03) and the practice of national competition authorities, this Chamber considers that in relation to the non-compete clause, anything that exceeds the geographical scope in which the seller offered the relevant products or services prior to the transfer, and the restrictions on the selling party regarding the holding or acquisition of shares for purely financial investment purposes that do not confer directly or indirectly management functions or substantial influence in the competing company, are restrictions that go beyond what is established in the Communication and therefore are not necessary or ancillary for the achievement of the operation, remaining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