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https://www.cnmc.es/expedientes/c093218</w:t>
      </w:r>
    </w:p>
    <w:p>
      <w:r>
        <w:t>Pages translated : 1</w:t>
      </w:r>
    </w:p>
    <w:p/>
    <w:p>
      <w:r>
        <w:rPr>
          <w:b/>
        </w:rPr>
        <w:t>[Pages 1–1]</w:t>
      </w:r>
    </w:p>
    <w:p>
      <w:r>
        <w:t>RESOLUTION</w:t>
        <w:br/>
        <w:t>File No. C/0932/18 BANKIA/CAJA GRANADA VIDA/CAJAMURCIA VIDA</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April 19, 2018</w:t>
        <w:br/>
        <w:t xml:space="preserve">The Competition Chamber has analyzed the concentration file processed in accordance with Law 15/2007, of July 3, on the Defense of Competition, consisting of the exclusive control acquisition of CAJA GRANADA VIDA, COMPAÑÍA DE SEGUROS Y REASEGUROS, S.A. and CAJAMURCIA VIDA Y PENSIONES DE SEGUROS Y REASEGUROS, S.A. by BANKIA S.A. In accordance with the report and proposal submitted by the Competition Directorate, the Competition Chamber of the National Commission of Markets and Competition has resolved, applying Article 57.2.a) of the aforementioned Law, to authorize the said concentration operation.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