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https://www.cnmc.es/expedientes/c093318</w:t>
      </w:r>
    </w:p>
    <w:p>
      <w:r>
        <w:t>Pages translated : 2</w:t>
      </w:r>
    </w:p>
    <w:p/>
    <w:p>
      <w:r>
        <w:rPr>
          <w:b/>
        </w:rPr>
        <w:t>[Pages 1–2]</w:t>
      </w:r>
    </w:p>
    <w:p>
      <w:r>
        <w:t>RESOLUTION</w:t>
        <w:br/>
        <w:t>File No. C/0933/18 GHO CAPITAL/TORREAL/ALCALIBER</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on May 10, 2018</w:t>
        <w:br/>
        <w:t xml:space="preserve">The Competition Chamber has analyzed the concentration file processed in accordance with Law 15/2007, of July 3, on the Defense of Competition, consisting in a single act and simultaneously, on one hand, in the acquisition by GHO CAPITAL FUND I LP (hereinafter GHO, specifically through a Spanish holding company SKYDELTA S.A.U.) of 100% of the shares of ALCALIBER, S.A (hereinafter ALCALIBER), previously belonging to TORREAL S.C.R., S.A (hereinafter TORREAL) (60%) and to SANOFI-CHIMIE, S.A (hereinafter SANOFI) (40%), and on the other hand, in the creation of a newly established joint venture (NEWCO) between ALCALIBER and TORREAL, to which the cannabis business of ALCALIBER will be transferred, and whose shareholding will belong 60% to GHO (through ALCALIBER) and 40% to TORREAL, both shareholders maintaining veto power over strategic decisions, thus holding joint control over the NEWCO. In accordance with the report and proposal submitted by the Competition Directorate, the Competition Chamber has resolved, under the application of Article 57.2.a) of the aforementioned Law 15/2007, of July 3, to authorize the aforementioned concentration operation. </w:t>
        <w:br/>
        <w:t xml:space="preserve">However, and taking into account the legislation and the aforementioned Communication from the European Commission regarding restrictions directly linked to the execution of a concentration and necessary for that purpose (2005/C56/03), it is considered that all the mentioned restrictions on competition are ancillary and necessary for the concentration operation, with the exception of the non-compete agreement, regarding which it is considered that any restriction that i) exceeds the geographical and product scope in which ALCALIBER and/or the NEWCO carried out their activity or had planned to effectively enter; as well as ii) extends said agreement to any company in which GHO and TORREAL have a stake greater than 10%, even without holding its control; iii) any restriction that prevents the acquisition or holding of shares in a company, whether or not it competes with the acquired company, for exclusively financial investment purposes that do not confer directly or indirectly management functions or substantial influence; as well as iv) anything that exceeds 3 years regarding the duration of the non-compete clause for the acquisition of ALCALIBER and its opium business, goes beyond what is reasonable for the execution of the operation, and will not be considered ancillary or necessary for it, thus being subject to the regulations on agreements between companies. All of this in accordance with what is indicated in the aforementioned report proposal from the Competition Directorate. </w:t>
        <w:br/>
        <w:t>Communicate this Resolution to the Competition Directorate of the National Commission on Markets and Competition and notify the interested party, informing them that this concludes the administrative process and that a contentious-administrative appeal can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