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https://www.cnmc.es/expedientes/c093418</w:t>
      </w:r>
    </w:p>
    <w:p>
      <w:r>
        <w:t>Pages translated : 1</w:t>
      </w:r>
    </w:p>
    <w:p/>
    <w:p>
      <w:r>
        <w:rPr>
          <w:b/>
        </w:rPr>
        <w:t>[Pages 1–1]</w:t>
      </w:r>
    </w:p>
    <w:p>
      <w:r>
        <w:t>RESOLUTION</w:t>
        <w:br/>
        <w:t>File No. C/O934/18 BLACKSTONE/HISPANIA</w:t>
        <w:br/>
        <w:t>COMPETITION CHAMBER</w:t>
        <w:br/>
        <w:t>President</w:t>
        <w:br/>
        <w:t>Mr. José María Marín Quemada</w:t>
        <w:br/>
        <w:t>Counselors</w:t>
        <w:br/>
        <w:t>Ms. María Ortiz Aguilar</w:t>
        <w:br/>
        <w:t>Mr. José María Guinart Solà</w:t>
        <w:br/>
        <w:t>Ms. Clotilde de la Higuera González</w:t>
        <w:br/>
        <w:t>Ms. María Pilar Canedo Arrillaga</w:t>
        <w:br/>
        <w:t>Secretary of the Council</w:t>
        <w:br/>
        <w:t>Mr. Joaquim Hortalà i Vallvé</w:t>
        <w:br/>
        <w:t>In Madrid, on May 3, 2018</w:t>
        <w:br/>
        <w:t>The Competition Chamber has analyzed the concentration file processed in accordance with Law 15/2007, of July 3, on the Defense of Competition, consisting of the acquisition of indirect exclusive control by THE BLACKSTONE GROUP L.P., through its subsidiary ALZETTE INVESTMENT, S.À.R.L., of HISPANIA ACTIVOS INMOBILIARIOS SOCIMI, S.A., through a public takeover bid (OPA) for all the issued and outstanding ordinary shares of HISPANIA. In accordance with the report and proposal submitted by the Directorate of Competition, the Competition Chamber has resolved, under Article 57.2.a) of the aforementioned Law 15/2007, of July 3, to authorize the aforementioned concentration operation.</w:t>
        <w:b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