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https://www.cnmc.es/expedientes/c093518</w:t>
      </w:r>
    </w:p>
    <w:p>
      <w:r>
        <w:t>Pages translated : 2</w:t>
      </w:r>
    </w:p>
    <w:p/>
    <w:p>
      <w:r>
        <w:rPr>
          <w:b/>
        </w:rPr>
        <w:t>[Pages 1–2]</w:t>
      </w:r>
    </w:p>
    <w:p>
      <w:r>
        <w:t>RESOLUTION</w:t>
        <w:br/>
        <w:t>File No. C/0935/18 MAHOU/LOS RECHAZOS</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May 31, 2018</w:t>
        <w:br/>
        <w:t xml:space="preserve">The Competition Chamber has analyzed the merger file processed in accordance with Law 15/2007, of July 3, on the Defense of Competition, consisting of the acquisition by MAHOU, S.A. (hereinafter, MSM) of all the shares of LOS RECHAZOS, S.L., and as a consequence, the acquisition of indirect control of all its subsidiaries, that is, 51.78% of the shares of AGUAS DEL VALLE DE LA OROTAVA, S.L. (hereinafter, AVO) and 51.78% of the shares of NIRGUA SOLAR, S.L., through AVO. In accordance with the report and proposal submitted by the Directorate of Competition, the Competition Chamber has resolved, under Article 57.2.a) of the aforementioned Law 15/2007, of July 3, to authorize the aforementioned merger operation. </w:t>
        <w:br/>
        <w:t>However, taking into account the Communication from the European Commission on restrictions directly linked to the execution of a merger and necessary for that purpose (2005/C 56/03) and the practice of national competition authorities, this Chamber considers that all the mentioned restrictions are ancillary and necessary for the merger operation, with the exception of: (i) regarding the non-compete agreement to the extent that it exceeds the geographical scope in which the acquired party carried out its activity or that restricts the acquisition or holding of shares in a company, whether or not it competes with the acquired company, for exclusively financial investment purposes that do not confer directly or indirectly management functions or substantial influence in the competing company and (ii) regarding the duration of the confidentiality clause to the extent that it exceeds three years, which is considered to go beyond what is reasonable for the execution of the operation and is therefore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