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https://www.cnmc.es/expedientes/c093618</w:t>
      </w:r>
    </w:p>
    <w:p>
      <w:r>
        <w:t>Pages translated : 2</w:t>
      </w:r>
    </w:p>
    <w:p/>
    <w:p>
      <w:r>
        <w:rPr>
          <w:b/>
        </w:rPr>
        <w:t>[Pages 1–2]</w:t>
      </w:r>
    </w:p>
    <w:p>
      <w:r>
        <w:t>RESOLUTION</w:t>
        <w:br/>
        <w:t>File No. C/0936/18 RIEMSER PHARMA/PRIALT</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May 10, 2018</w:t>
        <w:br/>
        <w:t xml:space="preserve">The Competition Chamber has analyzed the concentration file processed in accordance with Law 15/2007, of July 3, on the Defense of Competition, consisting of the acquisition by RIEMSER PHARMA GmbH of exclusive control over the assets related to the manufacturing and marketing of the drug PRIALT, belonging to EISAI Co. Ltd. In accordance with the report and proposal submitted by the Competition Directorate, the Competition Chamber has resolved, in application of Article 57.2.a) of the aforementioned Law 15/2007, of July 3, to authorize the said concentration operation. </w:t>
        <w:br/>
        <w:t>However, taking into account the Communication from the European Commission regarding restrictions directly linked to the execution of a concentration and necessary for that purpose (2005/C56/03) and the practice of national competition authorities, it is considered that both the content of the non-compete clause, insofar as it exceeds the product and/or territorial scope that is transferred or in which the seller was present or planned to be present, and what is contemplated in the aforementioned Communication regarding the holding of financial interests, as well as the duration of the confidentiality clause insofar as it exceeds three years, and in general for both clauses, as they affect other companies that may be considered unrelated to the parties of the operation, goes beyond what is reasonable for the execution of the operation and is not considered necessary or accessory for its achievement, thus remaining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