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https://www.cnmc.es/expedientes/c093818</w:t>
      </w:r>
    </w:p>
    <w:p>
      <w:r>
        <w:t>Pages translated : 1</w:t>
      </w:r>
    </w:p>
    <w:p/>
    <w:p>
      <w:r>
        <w:rPr>
          <w:b/>
        </w:rPr>
        <w:t>[Pages 1–1]</w:t>
      </w:r>
    </w:p>
    <w:p>
      <w:r>
        <w:t>RESOLUTION</w:t>
        <w:br/>
        <w:t>File No. C/0938/18 CHINA TIANYING / URBASER</w:t>
        <w:br/>
        <w:t>COMPETITION CHAMBER</w:t>
        <w:br/>
        <w:t>President</w:t>
        <w:br/>
        <w:t>Mr. José María Marín Quemada</w:t>
        <w:br/>
        <w:t>Counselors</w:t>
        <w:br/>
        <w:t>Ms. María Ortiz Aguilar</w:t>
        <w:br/>
        <w:t>Ms. Clotilde de la Higuera González</w:t>
        <w:br/>
        <w:t>Ms. María Pilar Canedo Arrillaga</w:t>
        <w:br/>
        <w:t>Secretary of the Council</w:t>
        <w:br/>
        <w:t>Mr. Joaquim Hortalà i Vallvé</w:t>
        <w:br/>
        <w:t>In Madrid, May 22, 2018</w:t>
        <w:br/>
        <w:t xml:space="preserve">The Competition Chamber has analyzed the merger file processed in accordance with Law 15/2007, of July 3, on the Defense of Competition, consisting of the acquisition by CHINA TIANYING, INC., of exclusive control of URBASER, S.A.U., through the indirect purchase of 100% of its share capital. In accordance with the report and proposal submitted by the Competition Directorate, the Competition Chamber has resolved, pursuant to article 57.2.a) of the aforementioned Law 15/2007, of July 3, to authorize the aforementioned merger operation.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