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https://www.cnmc.es/expedientes/c093918</w:t>
      </w:r>
    </w:p>
    <w:p>
      <w:r>
        <w:t>Pages translated : 2</w:t>
      </w:r>
    </w:p>
    <w:p/>
    <w:p>
      <w:r>
        <w:rPr>
          <w:b/>
        </w:rPr>
        <w:t>[Pages 1–2]</w:t>
      </w:r>
    </w:p>
    <w:p>
      <w:r>
        <w:t>RESOLUTION</w:t>
        <w:br/>
        <w:t>File No. C/0939/18 TESA/ BARLOWORLD INTERNACIONAL S.L.U</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May 31, 2018</w:t>
        <w:br/>
        <w:t>The Competition Chamber has analyzed the merger file processed in accordance with Law 15/2007, of July 3, on the Defense of Competition, consisting of the acquisition by TESA S.p.A. (TESA) of exclusive control of BARLOWORLD INTERNACIONAL S.L.U. (BARLOWORLD) through the acquisition of 100% of its shares. In accordance with the report and proposal submitted by the Competition Directorate, the Competition Chamber has resolved, applying Article 57.2.a) of the aforementioned Law 15/2007, of July 3, to authorize the said merger operation.</w:t>
        <w:br/>
        <w:t>However, taking into account the Communication from the European Commission regarding restrictions directly linked to the execution of a merger and necessary for that purpose (2005/C 56/03) and the practice of national competition authorities, this Chamber considers the non-competition agreement regarding the impossibility for BARLOWORLD to engage in any activity related to those acquired by TESA in the geographical markets in which the acquired entity was operating for a period of two years and the non-solicitation agreement for employees by BARLOWORLD to be ancillary to the merger operation. However, the contractual provisions regarding the seller's non-acquisition of shares in third companies related to the activity of the acquired entity can only be considered ancillary to the extent that the acquisition of those shares may confer direct or indirect management functions or substantial influence in the competing company, with the remainder of the obligation being subject to the general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