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https://www.cnmc.es/expedientes/c094018</w:t>
      </w:r>
    </w:p>
    <w:p>
      <w:r>
        <w:t>Pages translated : 1</w:t>
      </w:r>
    </w:p>
    <w:p/>
    <w:p>
      <w:r>
        <w:rPr>
          <w:b/>
        </w:rPr>
        <w:t>[Pages 1–1]</w:t>
      </w:r>
    </w:p>
    <w:p>
      <w:r>
        <w:t>RESOLUTION</w:t>
        <w:br/>
        <w:t>File No. C/0940/18 VÄRDE/WIZINK</w:t>
        <w:br/>
        <w:t>COMPETITION CHAMBER</w:t>
        <w:br/>
        <w:t>President</w:t>
        <w:br/>
        <w:t>Mr. José María Marín Quemada</w:t>
        <w:br/>
        <w:t>Counselors</w:t>
        <w:br/>
        <w:t>Ms. María Ortiz Aguilar</w:t>
        <w:br/>
        <w:t>Mr. Josep Maria Guinart Solà</w:t>
        <w:br/>
        <w:t>Ms. Clotilde de la Higuera González</w:t>
        <w:br/>
        <w:t>Ms. María Pilar Canedo Arrillaga</w:t>
        <w:br/>
        <w:t>Secretary of the Council</w:t>
        <w:br/>
        <w:t>Mr. Joaquim Hortalà i Vallvé</w:t>
        <w:br/>
        <w:t>In Madrid, May 31, 2018</w:t>
        <w:br/>
        <w:t xml:space="preserve">The Competition Chamber has analyzed the concentration file processed in accordance with Law 15/2007, of July 3, on the Defense of Competition, consisting of the acquisition of exclusive control by VÄRDE PARTNERS, INC., through its subsidiary ANETO S.À.R.L., of the company WIZINK BANK, S.A., over which it already exercised joint control with BANCO SANTANDER, S.A. In accordance with the report and proposal submitted by the Competition Directorate, the Competition Chamber has resolved, in application of Article 57.2.a) of the aforementioned Law 15/2007, of July 3, to authorize the aforementioned concentration operation. </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