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https://www.cnmc.es/expedientes/c094218</w:t>
      </w:r>
    </w:p>
    <w:p>
      <w:r>
        <w:t>Pages translated : 1</w:t>
      </w:r>
    </w:p>
    <w:p/>
    <w:p>
      <w:r>
        <w:rPr>
          <w:b/>
        </w:rPr>
        <w:t>[Pages 1–1]</w:t>
      </w:r>
    </w:p>
    <w:p>
      <w:r>
        <w:t>RESOLUTION</w:t>
        <w:br/>
        <w:t>File No. C/0942/18 SANTANDER/WIZINK-ASSETS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 xml:space="preserve">The Competition Chamber has analyzed the concentration file processed in accordance with Law 15/2007, of July 3, on the Defense of Competition, consisting of the acquisition of exclusive control by BANCO SANTANDER, S.A., through its subsidiary BANCO POPULAR ESPAÑOL, S.A. (BPE), of the assets and liabilities of the banking business of credit and debit cards of WIZINK BANK, S.A. (WIZINK) marketed by BPE and its subsidiaries (hereinafter, Banking Business), over which it already exercised joint control with VÄRDE PARTNERS, INC. (VÄRDE). In accordance with the report and proposal submitted by the Directorate of Competition, the Competition Chamber has resolved, applying Article 57.2.a) of the aforementioned Law 15/2007, of July 3, to authorize the aforementioned concentration operation. </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