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https://www.cnmc.es/expedientes/c094418</w:t>
      </w:r>
    </w:p>
    <w:p>
      <w:r>
        <w:t>Pages translated : 2</w:t>
      </w:r>
    </w:p>
    <w:p/>
    <w:p>
      <w:r>
        <w:rPr>
          <w:b/>
        </w:rPr>
        <w:t>[Pages 1–2]</w:t>
      </w:r>
    </w:p>
    <w:p>
      <w:r>
        <w:t>RESOLUTION</w:t>
        <w:br/>
        <w:t>File No. C/0944/18 USS / ATP / GT FUND / REDEXIS</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May 31, 2018</w:t>
        <w:br/>
        <w:t xml:space="preserve">The Competition Chamber has analyzed the merger file processed in accordance with Law 15/2007, of July 3, on the Defense of Competition, consisting of the acquisition by the funds UNIVERSITIES SUPERANNUATION SCHEME LIMITED (USS), ARBEJDSMARKEDETS TILLÆGSPENSION (ATP) and GUOXIN GUOTONG FUND LLP (GT FUND) of joint control over the companies REDEXIS GAS, S.A. and REDEXIS GAS FINANCE B.V. (hereinafter, these two companies will be referred to as REDEXIS). In accordance with the report and proposal submitted by the Competition Directorate, the Competition Chamber has resolved, under the application of Article 57.2.a) of the aforementioned Law 15/2007, of July 3, to authorize the aforementioned merger operation. </w:t>
        <w:br/>
        <w:t>However, taking into account the Communication from the European Commission on restrictions directly linked to the execution of a merger and necessary for that purpose (2005/C 56/03) and the practice of national competition authorities, this Chamber considers that the non-solicitation clause included in the Partnership Agreement, regarding its duration, goes beyond what is reasonable for the achievement of the operation, and therefore must be subject to the regulations on agreements between companies in what exceeds the duration period of the joint venture itself.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