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https://www.cnmc.es/expedientes/c094518</w:t>
      </w:r>
    </w:p>
    <w:p>
      <w:r>
        <w:t>Pages translated : 1</w:t>
      </w:r>
    </w:p>
    <w:p/>
    <w:p>
      <w:r>
        <w:rPr>
          <w:b/>
        </w:rPr>
        <w:t>[Pages 1–1]</w:t>
      </w:r>
    </w:p>
    <w:p>
      <w:r>
        <w:t>RESOLUTION</w:t>
        <w:br/>
        <w:t>File No. C/0945/18 TALLERES ALEGRÍA/DURO FELGUERA RAIL</w:t>
        <w:br/>
        <w:t>COMPETITION CHAMBER</w:t>
        <w:br/>
        <w:t>President</w:t>
        <w:br/>
        <w:t>Mr. José María Marín Quemada</w:t>
        <w:br/>
        <w:t>Counselors</w:t>
        <w:br/>
        <w:t>Ms. María Ortiz Aguilar</w:t>
        <w:br/>
        <w:t>Mr. Josep María Guinart Solà</w:t>
        <w:br/>
        <w:t>Ms. Clotilde de la Higuera González</w:t>
        <w:br/>
        <w:t>Ms. María Pilar Canedo Arrillaga</w:t>
        <w:br/>
        <w:t>Secretary of the Council</w:t>
        <w:br/>
        <w:t>Mr. Joaquim Hortalà i Vallvé</w:t>
        <w:br/>
        <w:t>In Madrid, July 26, 2018</w:t>
        <w:br/>
        <w:t>The Competition Chamber has analyzed the concentration file processed in accordance with Law 15/2007, of July 3, on the Defense of Competition, consisting of the acquisition of exclusive control by the company TALLERES ALEGRÍA S.A. (TALLERES ALEGRÍA) of 80% of the share capital of DURO FELGUERA RAIL S.A.U. (DURO FELGUERA RAIL), a company dedicated to the manufacture of track components and devices for railway superstructures. According to the report and proposal submitted by the Directorate of Competition, the Competition Chamber has resolved, in application of Article 57.2.b) of the aforementioned Law 15/2007, of July 3, to authorize the aforementioned concentration operation, subject to the fulfillment of the commitments presented by TALLERES ALEGRÍA on July 6, 2018.</w:t>
        <w:br/>
        <w:t>This Resolution shall be communicated to the Directorate of Competition of the National Commission of Markets and Competition and notified to the interested party, informing them that it concludes the administrative process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