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https://www.cnmc.es/expedientes/c094618</w:t>
      </w:r>
    </w:p>
    <w:p>
      <w:r>
        <w:t>Pages translated : 2</w:t>
      </w:r>
    </w:p>
    <w:p/>
    <w:p>
      <w:r>
        <w:rPr>
          <w:b/>
        </w:rPr>
        <w:t>[Pages 1–2]</w:t>
      </w:r>
    </w:p>
    <w:p>
      <w:r>
        <w:t>RESOLUTION</w:t>
        <w:br/>
        <w:t>File No. C/0946/18 MAGNUM /EUROPEAN IO-N /AIRE</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July 5, 2018</w:t>
        <w:br/>
        <w:t xml:space="preserve">The Competition Chamber has analyzed the merger file processed in accordance with Law 15/2007, of July 3, on the Defense of Competition, consisting of the acquisition of joint control over AIRE NETWORKS DEL MEDITERRÁNEO, S.L., previously exclusively controlled by EUROPEAN IO-N INVESTMENT GROUP, S.L., by this entity and MAGNUM CAPITAL MANAGEMENT S.A.R.L. In accordance with the report and proposal submitted by the Competition Directorate, the Competition Chamber has resolved, in application of Article 57.2.a) of the aforementioned Law 15/2007, of July 3, to authorize the aforementioned merger operation. </w:t>
        <w:br/>
        <w:t>Furthermore, and taking into account the Communication from the European Commission on restrictions directly linked to the execution of a merger and necessary for that purpose (2005/C 56/03) and the practice of national competition authorities, it is considered that, in the present case, as it affects Spain, the non-compete and non-solicitation agreements included in the partnership agreement would only be ancillary to the merger operation insofar as they do not exceed a period of three years from the execution of the merger. Those exceeding three years will be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