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https://www.cnmc.es/expedientes/c094818</w:t>
      </w:r>
    </w:p>
    <w:p>
      <w:r>
        <w:t>Pages translated : 2</w:t>
      </w:r>
    </w:p>
    <w:p/>
    <w:p>
      <w:r>
        <w:rPr>
          <w:b/>
        </w:rPr>
        <w:t>[Pages 1–2]</w:t>
      </w:r>
    </w:p>
    <w:p>
      <w:r>
        <w:t xml:space="preserve">RESOLUTION  </w:t>
        <w:br/>
        <w:t xml:space="preserve">Case File No. C/0948/18 OCP INTERNATIONAL COÖPERATIVE U.A./MR. MARTÍN BLESA/FERTINAGRO BIOTECH S.L.  </w:t>
        <w:br/>
        <w:t xml:space="preserve">COMPETITION CHAMBER  </w:t>
        <w:br/>
        <w:t xml:space="preserve">President  </w:t>
        <w:br/>
        <w:t xml:space="preserve">Mr. José María Marín Quemada  </w:t>
        <w:br/>
        <w:t xml:space="preserve">Counselors  </w:t>
        <w:br/>
        <w:t xml:space="preserve">Ms. María Ortiz Aguilar  </w:t>
        <w:br/>
        <w:t xml:space="preserve">Ms. Clotilde de la Higuera González  </w:t>
        <w:br/>
        <w:t xml:space="preserve">Ms. María Pilar Canedo Arrillaga  </w:t>
        <w:br/>
        <w:t xml:space="preserve">Secretary of the Council  </w:t>
        <w:br/>
        <w:t xml:space="preserve">Mr. Joaquim Hortalà i Vallvé  </w:t>
        <w:br/>
        <w:t>In Madrid, July 5, 2018</w:t>
      </w:r>
    </w:p>
    <w:p>
      <w:r>
        <w:t>The Competition Chamber has analyzed the concentration case file processed in accordance with Law 15/2007, of July 3, on the Defense of Competition, consisting of the acquisition by OCP INTERNATIONAL COÖPERATIVE U.A. of a 20% stake in the share capital of FERTINAGRO BIOTECH, S.L., which will grant it a series of veto rights that, together with its current owner, will confer joint control over it.</w:t>
      </w:r>
    </w:p>
    <w:p>
      <w:r>
        <w:t>In accordance with the report and proposal submitted by the Competition Directorate, the Competition Chamber has resolved, pursuant to Article 57.2.a) of the aforementioned Law 15/2007, of July 3, to authorize the said concentration operation.</w:t>
      </w:r>
    </w:p>
    <w:p>
      <w:r>
        <w:t>Furthermore, taking into account the Communication from the European Commission regarding restrictions directly linked to the execution of a concentration and necessary for that purpose (2005/C 56/03) and the practice of national competition authorities, this Competition Chamber considers that all clauses, regarding their content and duration, are necessary and ancillary for the achievement of the operation, with the exception of the duration in the non-competition, non-solicitation, and confidentiality clauses, to the extent that it exceeds three years, as well as the content affecting other companies, issues that are not considered ancillary or necessary for it and must therefore be subject to the regulations on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