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https://www.cnmc.es/expedientes/c094918</w:t>
      </w:r>
    </w:p>
    <w:p>
      <w:r>
        <w:t>Pages translated : 1</w:t>
      </w:r>
    </w:p>
    <w:p/>
    <w:p>
      <w:r>
        <w:rPr>
          <w:b/>
        </w:rPr>
        <w:t>[Pages 1–1]</w:t>
      </w:r>
    </w:p>
    <w:p>
      <w:r>
        <w:t>RESOLUTION</w:t>
        <w:br/>
        <w:t>Case File No. C/0949/18 SCHULER / FARINA</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July 5, 2018</w:t>
        <w:br/>
        <w:t>The Competition Chamber has analyzed the concentration file processed in accordance with Law 15/2007, of July 3, on the Defense of Competition, consisting of the acquisition by SCHULER AG of control of 100% of the share capital of FARINA PRESSE S.P.A. and all its subsidiaries, from its current owners. In accordance with the report and proposal submitted by the Competition Directorate, the Competition Chamber has resolved, in application of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