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https://www.cnmc.es/expedientes/c095018</w:t>
      </w:r>
    </w:p>
    <w:p>
      <w:r>
        <w:t>Pages translated : 1</w:t>
      </w:r>
    </w:p>
    <w:p/>
    <w:p>
      <w:r>
        <w:rPr>
          <w:b/>
        </w:rPr>
        <w:t>[Pages 1–1]</w:t>
      </w:r>
    </w:p>
    <w:p>
      <w:r>
        <w:t>RESOLUTION</w:t>
        <w:br/>
        <w:t>File No. C/0950/18 ENDESA / EAECSA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July 12, 2018</w:t>
        <w:br/>
        <w:t xml:space="preserve">The Competition Chamber has analyzed the concentration file processed in accordance with Law 15/2007, of July 3, on the Defense of Competition, consisting of the acquisition of exclusive control of EMPRESA DE ALUMBRADO ELÉCTRICO DE CEUTA, S.A., by ENDESA, S.A., through the acquisition of shares representing at least 50.01% of its share capital.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