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https://www.cnmc.es/expedientes/c095118</w:t>
      </w:r>
    </w:p>
    <w:p>
      <w:r>
        <w:t>Pages translated : 2</w:t>
      </w:r>
    </w:p>
    <w:p/>
    <w:p>
      <w:r>
        <w:rPr>
          <w:b/>
        </w:rPr>
        <w:t>[Pages 1–2]</w:t>
      </w:r>
    </w:p>
    <w:p>
      <w:r>
        <w:t>RESOLUTION</w:t>
        <w:br/>
        <w:t>File No. C/0951/18 BARCELÓ/GRUPO SERHS-ASSETS-</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July 5, 2018</w:t>
        <w:br/>
        <w:t xml:space="preserve">The Competition Chamber has analyzed the concentration file processed in accordance with Law 15/2007, of July 3, on the Defense of Competition, consisting of the acquisition of exclusive indirect control by BARCELÓ CORPORACIÓN EMPRESARIAL, S.A., through its subsidiary ÁVORIS RETAIL DIVISION, S.L., of the travel agency business of GRUP SERHS, S.A. (Grupo Serhs) in Spain, developed by its two subsidiaries SERHS TOURISM, S.A. and VIAJES LÍDER CANARIAS, S.A. According to the report and proposal submitted by the Directorate of Competition, the Competition Chamber has resolved, in application of Article 57.2.a) of the aforementioned Law 15/2007, of July 3, to authorize the aforementioned concentration operation. </w:t>
        <w:br/>
        <w:t>Furthermore, and taking into account the Communication from the European Commission on restrictions directly linked to the execution of a concentration and necessary for that purpose (2005/C 56/03) and the practice of national competition authorities, this Competition Chamber considers that the non-compete agreement, to the extent that it restricts the buyer's activity and in all that exceeds a duration of three years, must be excluded from the operation and therefore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