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https://www.cnmc.es/expedientes/c095218</w:t>
      </w:r>
    </w:p>
    <w:p>
      <w:r>
        <w:t>Pages translated : 1</w:t>
      </w:r>
    </w:p>
    <w:p/>
    <w:p>
      <w:r>
        <w:rPr>
          <w:b/>
        </w:rPr>
        <w:t>[Pages 1–1]</w:t>
      </w:r>
    </w:p>
    <w:p>
      <w:r>
        <w:t>RESOLUTION</w:t>
        <w:br/>
        <w:t>File No. C/0952/18 CAIXABANK/ SERVIHABITAT</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July 5, 2018</w:t>
        <w:br/>
        <w:t xml:space="preserve">The Competition Chamber has analyzed the concentration file processed in accordance with Law 15/2007, of July 3, on the Defense of Competition, consisting of the acquisition of exclusive control by CAIXABANK S.A., over SERVIHABITAT SERVICIOS INMOBILIARIOS, S.L., a company over which it already exercised joint control with SH FINDEL, S.À.R.L. In accordance with the report and proposal submitted by the Competition Directorate, the Competition Chamber has resolved, in application of article 57.2.a) of the aforementioned Law 15/2007, of July 3, to authorize the aforementioned concentration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