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https://www.cnmc.es/expedientes/c095618</w:t>
      </w:r>
    </w:p>
    <w:p>
      <w:r>
        <w:t>Pages translated : 1</w:t>
      </w:r>
    </w:p>
    <w:p/>
    <w:p>
      <w:r>
        <w:rPr>
          <w:b/>
        </w:rPr>
        <w:t>[Pages 1–1]</w:t>
      </w:r>
    </w:p>
    <w:p>
      <w:r>
        <w:t>RESOLUTION</w:t>
        <w:br/>
        <w:t>File No. C/0956/18 CRITERIA/SABA</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July 19, 2018</w:t>
        <w:br/>
        <w:t xml:space="preserve">The Competition Chamber has analyzed the concentration file processed in accordance with Law 15/2007, of July 3, on the Defense of Competition, consisting of the acquisition of exclusive control of SABA INFRAESTRUCTURAS, S.A., by CRITERIA CAIXA, S.A.U. Currently, CRITERIA exercises joint control over SABA together with VIANA SPE, S.L. and PROA CAPITAL DE INVERSIONES, SGECR, S.A. According to the report and proposal submitted by the Competition Directorate, the Competition Chamber has resolved, in application of Article 57.2.a) of the aforementioned Law 15/2007, of July 3, to authorize the aforementioned concentration operation.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