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https://www.cnmc.es/expedientes/c095718</w:t>
      </w:r>
    </w:p>
    <w:p>
      <w:r>
        <w:t>Pages translated : 2</w:t>
      </w:r>
    </w:p>
    <w:p/>
    <w:p>
      <w:r>
        <w:rPr>
          <w:b/>
        </w:rPr>
        <w:t>[Pages 1–2]</w:t>
      </w:r>
    </w:p>
    <w:p>
      <w:r>
        <w:t>RESOLUTION</w:t>
        <w:br/>
        <w:t>File No. C/0957/18 ADAMO/KNET</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July 19, 2018</w:t>
        <w:br/>
        <w:t>The Competition Chamber has analyzed the concentration file processed in accordance with Law 15/2007, of July 3, on the Defense of Competition, consisting of the acquisition of exclusive control of Knet Comunicaciones, S.L., by Adamo Telecom, S.L. In accordance with the report and proposal submitted by the Competition Directorate, the Competition Chamber has resolved, pursuant to article 57.2.a) of the aforementioned Law 15/2007, of July 3, to authorize the aforementioned concentration operation.</w:t>
        <w:br/>
        <w:t>Furthermore, taking into account the Communication from the European Commission on restrictions directly linked to the execution of a concentration and necessary for that purpose (2005/C 56/03) and the practice of national competition authorities, this Competition Chamber considers that, in the present case, as it affects Spain, the non-competition and non-solicitation agreements included in the purchase agreement would only be ancillary to the concentration operation for a maximum period of two years from the execution of the concentration operation. The aforementioned restrictions, to the extent that they exceed the specified time limits, are not considered ancillary to the notified operation and are subject to the regulations on agreements between companies.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