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https://www.cnmc.es/expedientes/c095818</w:t>
      </w:r>
    </w:p>
    <w:p>
      <w:r>
        <w:t>Pages translated : 1</w:t>
      </w:r>
    </w:p>
    <w:p/>
    <w:p>
      <w:r>
        <w:rPr>
          <w:b/>
        </w:rPr>
        <w:t>[Pages 1–1]</w:t>
      </w:r>
    </w:p>
    <w:p>
      <w:r>
        <w:t>RESOLUTION</w:t>
        <w:br/>
        <w:t>File No. C/0958/18 BIDAFARMA/ZACOFARVA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The Competition Chamber has analyzed the concentration file processed in accordance with Law 15/2007, of July 3, on the Defense of Competition, consisting of the merger of BIDAFARMA SOCIEDAD COOPERATIVA ANDALUZA (BIDAFARMA) and SOCIEDAD COOPERATIVA FARMACÉUTICA DE ZAMORA Y VALLADOLID, S.COOP. LTDA. (ZACOFARVA) through the integration of the latter into BIDAFARMA, transferring its social assets without entering into liquidation.</w:t>
        <w:br/>
        <w:t>In accordance with the report and the proposal submitted by the Directorate of Competition, the Competition Chamber has resolved, applying Article 57.2.a) of the aforementioned Law 15/2007, of July 3, to authorize the aforementioned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