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https://www.cnmc.es/expedientes/c095918</w:t>
      </w:r>
    </w:p>
    <w:p>
      <w:r>
        <w:t>Pages translated : 1</w:t>
      </w:r>
    </w:p>
    <w:p/>
    <w:p>
      <w:r>
        <w:rPr>
          <w:b/>
        </w:rPr>
        <w:t>[Pages 1–1]</w:t>
      </w:r>
    </w:p>
    <w:p>
      <w:r>
        <w:t>RESOLUTION</w:t>
        <w:br/>
        <w:t>File No. C/0959/18 BIDAFARMA/SOCOFASA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19, 2018</w:t>
        <w:br/>
        <w:t xml:space="preserve">The Competition Chamber has analyzed the concentration file processed in accordance with Law 15/2007, of July 3, on the Defense of Competition, consisting of the merger of BIDAFARMA SOCIEDAD COOPERATIVA ANDALUZA (BIDAFARMA) and SOCIEDAD COOPERATIVA FARMACÉUTICA SALMANTINA, S.C.L. (SOCOFASA) through the integration of the latter into BIDAFARMA, transferring its social assets without entering into liquidation. In accordance with the report and proposal submitted by the Directorate of Competition, the Competition Chamber has resolved, applying Article 57.2.a) of the aforementioned Law 15/2007, of July 3, to authorize the aforementioned concentration operation. </w:t>
        <w:b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