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https://www.cnmc.es/expedientes/c096318</w:t>
      </w:r>
    </w:p>
    <w:p>
      <w:r>
        <w:t>Pages translated : 2</w:t>
      </w:r>
    </w:p>
    <w:p/>
    <w:p>
      <w:r>
        <w:rPr>
          <w:b/>
        </w:rPr>
        <w:t>[Pages 1–2]</w:t>
      </w:r>
    </w:p>
    <w:p>
      <w:r>
        <w:t>RESOLUTION</w:t>
        <w:br/>
        <w:t>File No. C/0963/18 SANTA LUCÍA/PELAYO/PELAYO VIDA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19, 2018</w:t>
        <w:br/>
        <w:t xml:space="preserve">The Competition Chamber has analyzed the concentration file processed in accordance with Law 15/2007, of July 3, on the Defense of Competition, consisting of the acquisition by SANTA LUCÍA, S.A. COMPAÑÍA DE SEGUROS Y REASEGUROS (SANTA LUCÍA) of joint control of PELAYO VIDA DE SEGUROS Y REASEGUROS, S.A. (PELAYO VIDA), currently jointly controlled 50% by PELAYO MUTUA DE SEGUROS Y REASEGUROS A PRIMA FIJA (PELAYO) and AVIVA EUROPE, S.E. (AVIVA). According to the report and proposal submitted by the Directorate of Competition, the Competition Chamber has resolved, in application of Article 57.2.a) of the aforementioned Law 15/2007, of July 3, to authorize the aforementioned concentration operation. </w:t>
        <w:br/>
        <w:t>However, in accordance with what is stated in paragraph (16) of the aforementioned report proposal, the information exchanged in PELAYO VIDA must be limited to life insurance and pension fund management, and exchanges of information affecting other products in which the parent companies are competitors or that are not expressly included within the object of the participating company may constitute a violation of Article 1 of the LDC.</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