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https://www.cnmc.es/expedientes/c096518</w:t>
      </w:r>
    </w:p>
    <w:p>
      <w:r>
        <w:t>Pages translated : 2</w:t>
      </w:r>
    </w:p>
    <w:p/>
    <w:p>
      <w:r>
        <w:rPr>
          <w:b/>
        </w:rPr>
        <w:t>[Pages 1–2]</w:t>
      </w:r>
    </w:p>
    <w:p>
      <w:r>
        <w:t>RESOLUTION</w:t>
        <w:br/>
        <w:t>File No. C/0965/18 PENINSULA/ODISSEA/SAGITTARIUS/KIKO</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The Competition Chamber has analyzed the concentration file processed in accordance with Law 15/2007, of July 3, on the Defense of Competition, consisting of the joint acquisition of control of KIKO S.p.A. and its subsidiaries (KIKO) by Peninsula Capital S.a.R.L (PENINSULA), Odissea S.r.l. (ODISSEA), and Sagittarius 75 S.A. (SAGITTARIUS). In accordance with the report and proposal submitted by the Competition Directorate, the Competition Chamber has resolved, applying Article 57.2.a) of the aforementioned Law 15/2007, of July 3, to authorize the aforementioned concentration operation.</w:t>
        <w:br/>
        <w:t>Furthermore, and taking into account the Communication from the European Commission on restrictions directly linked to the execution of a concentration and necessary for that purpose (2005/C 56/03) and the practice of national competition authorities, this Competition Chamber considers that the content of the non-competition and non-solicitation agreements does not go beyond what is reasonably required by the concentration operation and therefore proposes that they be considered ancillary restrictions to it, with the exception of: i) the duration of the non-competition and non-solicitation agreements to the extent that it exceeds the duration of the joint venture, ii) the subject matter of the non-solicitation and competition agreements to the extent that it exceeds the economic activity of the joint venture, iii) the scope of the non-competition agreement, to the extent that it prevents purely financial investments, and iv) the geographical scope of the non-solicitation and non-competition agreements, to the extent that they exceed the area where KIKO currently conducts its activity, which must therefore be subject to the regulations on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