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https://www.cnmc.es/expedientes/c096618</w:t>
      </w:r>
    </w:p>
    <w:p>
      <w:r>
        <w:t>Pages translated : 11</w:t>
      </w:r>
    </w:p>
    <w:p/>
    <w:p>
      <w:r>
        <w:rPr>
          <w:b/>
        </w:rPr>
        <w:t>[Pages 1–3]</w:t>
      </w:r>
    </w:p>
    <w:p>
      <w:r>
        <w:t xml:space="preserve">RESOLUTION  </w:t>
        <w:br/>
        <w:t xml:space="preserve">Expte. C/0966/18 QUIRÓN/CLÍNICA SANTA CRISTINA  </w:t>
        <w:br/>
        <w:t xml:space="preserve">COMPETITION CHAMBER  </w:t>
        <w:br/>
        <w:t xml:space="preserve">President  </w:t>
        <w:br/>
        <w:t xml:space="preserve">Mr. José María Marín Quemada  </w:t>
        <w:br/>
        <w:t xml:space="preserve">Counselors  </w:t>
        <w:br/>
        <w:t xml:space="preserve">Ms. María Ortiz Aguilar  </w:t>
        <w:br/>
        <w:t xml:space="preserve">Mr. Josep María Guinart Solà  </w:t>
        <w:br/>
        <w:t xml:space="preserve">Ms. Clotilde de la Higuera González  </w:t>
        <w:br/>
        <w:t xml:space="preserve">Ms. María Pilar Canedo Arrillaga  </w:t>
        <w:br/>
        <w:t xml:space="preserve">Secretary of the Council  </w:t>
        <w:br/>
        <w:t xml:space="preserve">Mr. Joaquim Hortalà i Vallvé  </w:t>
        <w:br/>
        <w:t>In Madrid, on April 16, 2019</w:t>
      </w:r>
    </w:p>
    <w:p>
      <w:r>
        <w:t>The Competition Chamber of the National Commission of Markets and Competition, with the composition expressed, pursuant to Article 58 of Law 15/2007, of July 3, on Competition Defense (hereinafter LDC), has issued a resolution in file C/0966/18 QUIRÓN/CLÍNICA SANTA CRISTINA, consisting of the acquisition by IDCQ Hospitales y Sanidad S.L.U. (QUIRÓN Group) of the healthcare business of "Clínica Santa Cristina" (CSC) in Albacete.</w:t>
      </w:r>
    </w:p>
    <w:p>
      <w:r>
        <w:t xml:space="preserve">FACTUAL BACKGROUND  </w:t>
        <w:br/>
        <w:t xml:space="preserve">1. On July 16, 2018, the National Commission of Markets and Competition (hereinafter, CNMC) received notification of the concentration consisting of the acquisition by IDCQ Hospitales y Sanidad S.L.U. (QUIRÓN Group) of the healthcare business of "Clínica Santa Cristina" (CSC) in Albacete.  </w:t>
        <w:br/>
        <w:t xml:space="preserve">2. This notification was made by QUIRÓN Group as established in Article 9 of Law 15/2007, of July 3, on Competition Defense (LDC) for exceeding the threshold established in letter a (second paragraph) of Article 8.1 of the aforementioned regulation. The provisions of the Competition Defense Regulation, approved by Royal Decree 261/2008, of February 22, apply to this operation.  </w:t>
        <w:br/>
        <w:t xml:space="preserve">3. On July 17, 2018, pursuant to Articles 39.1 and 55.6 of the LDC, the Competition Directorate requested necessary information for the proper assessment of the concentration from third-party operators. On the same date, the deadline to agree on moving to the second phase was suspended. On August 21, the last response was received, and the suspension was lifted on August 23, effective from August 22.  </w:t>
        <w:br/>
        <w:t xml:space="preserve">4. In exercising the provisions of Articles 55.4 and 55.5 of the LDC, the Competition Directorate requested from the notifying party, on August 23, the expansion of the necessary information for the resolution of the file, suspending the deadline for resolution. On September 3, the notifying party requested an extension of the deadline to respond, which was granted, extending the deadline by an additional 5 days. On September 13, the notifying party submitted incomplete information related to the request. On September 17, the Competition Directorate agreed to reiterate the request, giving a new deadline of 5 days to respond. On September 24, the response to the information request of August 23 was received. On September 25, the Competition Directorate agreed to lift the suspension of the deadline for resolving the operation.  </w:t>
        <w:br/>
        <w:t xml:space="preserve">5. In accordance with Article 57.1 of Law 15/2007, of July 3, on Competition Defense (hereinafter LDC), the Competition Directorate formed a file and prepared the corresponding report on the operation along with a resolution proposal. The CNMC Council issued, on October 11, a resolution in the first phase, in which it agreed to initiate the second phase of the procedure in accordance with Article 57.2.c) of the aforementioned Law, considering that the said concentration operation could hinder the maintenance of effective competition in all or some of the analyzed markets.  </w:t>
        <w:br/>
        <w:t xml:space="preserve">6. Article 36.2.b) of the LDC adds that the maximum period for issuing and notifying the aforementioned resolution of the Council of the National Commission of Markets and Competition is two months in the second phase, counting from the date on which the Council agrees to open the second phase.  </w:t>
        <w:br/>
        <w:t xml:space="preserve">7. On October 22, 2018, in accordance with the provisions of Article 58.1 of the LDC and Article 65 of the Competition Defense Regulation (hereinafter RDC), the Competition Directorate sent, once the confidential aspects of it were resolved, a brief note on the concentration to those who could be affected by the reference file and to the Consumers and Users Council, for them to submit their allegations within a period of 10 days. On October 23, 2018, the aforementioned brief note was published on the CNMC website.  </w:t>
        <w:br/>
        <w:t xml:space="preserve">8. On November 7, ASISA, HLA, and CLÍNICA EL ROSARIO submitted allegations to the brief note. On November 12, the Consumers and Users Council submitted a document stating that they did not present allegations. On November 13, SEGURCAIXA-ADESLAS submitted a statement of allegations. On November 20, the notifying party submitted a document with statements contrary to the Report and Proposal to initiate the second phase.  </w:t>
        <w:br/>
        <w:t xml:space="preserve">9. On November 20, the Competition Directorate, pursuant to Article 39 of the LDC, made a request for necessary information for the resolution of the reference file to MUFACE and, in accordance with the provisions of Article 37.1 of the LDC, agreed that this request for information would suspend the computation of the deadline for resolving the reference file. This request was answered on December 5, lifting the suspension.  </w:t>
        <w:br/>
        <w:t xml:space="preserve">10. On November 22, the CNMC Council, pursuant to Article 66 of the RDC, agreed to accept the condition of interested parties in the procedure of the following applicants: SEGURCAIXA ADESLAS, S.A. DE SEGUROS Y REASEGUROS, ASISA, ASISTENCIA SANITARIA INTERPROVINCIAL DE SEGUROS, S.A., SOCIEDAD UNIPERSONAL, HM HOSPITALES 1989, S.A. and HLA LAVINIA SALUD S.L.  </w:t>
        <w:br/>
        <w:t xml:space="preserve">11. On December 12 and 13, the Competition Directorate also sent requests for information to the Ministry of Health, the Health Service of Castilla la Mancha (SESCAM), and the Provincial Directorate of Albacete of the Health Department. Given the relevance of the requested information, the Competition Directorate established that these requests would suspend the resolution deadline of the file, through agreements dated December 12 and 14.  </w:t>
        <w:br/>
        <w:t xml:space="preserve">12. On December 19, 20, and 21, the Competition Directorate sent new requests for information to several companies providing private healthcare services to public patients, as well as to SESCAM and the University Hospital Complex of Albacete, maintaining the suspension of the resolution deadline of the file, through an agreement dated December 21.  </w:t>
        <w:br/>
        <w:t xml:space="preserve">13. On December 21, ASISA submitted new allegations reiterating the competition issues considered by that party and indicating possible commitments or conditions necessary for the approval of the notified operation.  </w:t>
        <w:br/>
        <w:t xml:space="preserve">14. On January 2, the Competition Directorate prepared a statement of facts, applying Article 58.2 of the LDC, which included the possible obstacles to competition arising from the concentration and which was notified on that date to the interested parties for them to submit allegations within a period of 10 days.  </w:t>
        <w:br/>
        <w:t>15. On January 15, the Competition Directorate requested information from the notifying party and the acquired party, necessary for the resolution of the file, suspending the resolution deadline of the file, through an agreement dated January 15, 2019.</w:t>
      </w:r>
    </w:p>
    <w:p>
      <w:r>
        <w:rPr>
          <w:b/>
        </w:rPr>
        <w:t>[Pages 4–6]</w:t>
      </w:r>
    </w:p>
    <w:p>
      <w:r>
        <w:t>16. On January 18, ASISA submitted, on its own behalf and on behalf of HLA and CLÍNICA EL ROSARIO, a statement of allegations to the statement of facts prepared by the Competition Directorate. On January 24, the notifying party submitted a statement of allegations to the statement. On January 25, SEGURCAIXA-ADESLAS submitted a statement of allegations to the statement.</w:t>
      </w:r>
    </w:p>
    <w:p>
      <w:r>
        <w:t>17. Furthermore, on January 24, 2019, pursuant to the provisions of Article 59 of the LDC, the notifying party submitted a proposal of commitments aimed at resolving the obstacles to maintaining effective competition that could arise from the notified concentration operation. In accordance with the provisions of Article 59.2 of the LDC, the submission of these commitments extended the deadline by 15 business days to issue and notify the Resolution of the reference file.</w:t>
      </w:r>
    </w:p>
    <w:p>
      <w:r>
        <w:t>18. In relation to the information requests sent by the Competition Directorate on January 15, these were answered incompletely, so on January 30 new written requests for information were sent, suspending the deadline for resolving the file, by agreement dated January 30, 2019.</w:t>
      </w:r>
    </w:p>
    <w:p>
      <w:r>
        <w:t>19. After examining the commitments submitted, in accordance with Article 69.4 of the LDC, the Competition Directorate considered that they were insufficient to eliminate the obstacles to competition identified in the statement of facts, so on the 5th a written request for modification of commitments was sent in accordance with the provisions of Article 55.5, giving a period of 10 days for the notifying party to submit a new proposal of commitments, if deemed appropriate. By virtue of Article 37.2 b) of the LDC, the Directorate agreed to maintain the suspension of the resolution deadline.</w:t>
      </w:r>
    </w:p>
    <w:p>
      <w:r>
        <w:t>20. On February 19, Grupo QUIRÓN submitted a second proposal of commitments to the CNMC aimed at resolving the competition problems arising from the notified operation.</w:t>
      </w:r>
    </w:p>
    <w:p>
      <w:r>
        <w:t>21. On February 20, the Competition Directorate requested information from the Albacete Hospital Complex in order to clarify certain aspects of the response dated February 14, 2019, to the letter dated December 19, 2018.</w:t>
      </w:r>
    </w:p>
    <w:p>
      <w:r>
        <w:t>22. Likewise, on February 28, 2019, in accordance with the provisions of Articles 39.1 and 59.3 of the LDC, the proposal of commitments from Grupo QUIRÓN was sent to various agents present in some of the markets affected by the concentration operation, so that they could assess its adequacy to resolve the possible obstacles to competition identified and, if applicable, propose possible alternative commitments, with the deadlines for resolving the reference file remaining suspended.</w:t>
      </w:r>
    </w:p>
    <w:p>
      <w:r>
        <w:t>23. On March 5, a request for information was sent to the various companies that Grupo QUIRÓN had proposed as possible auditors of the quality commitments in its second proposal of commitments. Likewise, on March 8, a request for information was sent to one of the companies providing healthcare services within the Clínica Santa Cristina, with the resolution deadline remaining suspended, by agreement dated March 8, 2019.</w:t>
      </w:r>
    </w:p>
    <w:p>
      <w:r>
        <w:t>24. The following companies have responded to the information request regarding the assessment of the commitments presented by Grupo QUIRÓN: Asisa, HLA, Clínica Ginecológica Moratalla, Clínica Nuestra Señora del Rosario, Complejo Hospitalario Universitario de Albacete, Consejería de Sanidad de Castilla la Mancha, Divina Pastora, Grupo HNA, HM Hospitales, Mansilla Diagnóstico por Imagen, Mapfre, Médicis Grupo Hellín, Ribera Salud, Sanitas, Adeslas, Muface, Ministerio de Sanidad, and Castroverde Medical.</w:t>
      </w:r>
    </w:p>
    <w:p>
      <w:r>
        <w:t>25. Additionally, several companies present in Albacete, which provide their services at the Clínica Santa Cristina, have submitted statements of allegations, requesting the denial of authorization for the reference concentration operation.</w:t>
      </w:r>
    </w:p>
    <w:p>
      <w:r>
        <w:t>26. On March 28, the notifying party submitted a new version of the commitments including a list of quality indicators.</w:t>
      </w:r>
    </w:p>
    <w:p>
      <w:r>
        <w:t>27. On the same day, March 28, the company IASIST responded to the information request. Being the only company that remained pending to respond to the requests that led to the suspension, the Competition Directorate agreed, on March 3, to lift the suspension of the deadline and to consider the computation of the same resumed from March 29.</w:t>
      </w:r>
    </w:p>
    <w:p>
      <w:r>
        <w:t>28. On April 2, the Competition Directorate sent a reiteration of the information request to SESCAM, which was answered on April 5.</w:t>
      </w:r>
    </w:p>
    <w:p>
      <w:r>
        <w:t>29. On April 5, the notifying party submitted a new and final version of commitments along with two annexes on the quality indicators it commits to audit.</w:t>
      </w:r>
    </w:p>
    <w:p>
      <w:r>
        <w:t>30. According to all the above, the deadline for resolving in the second phase is May 3, inclusive. After this date, the notified operation will be considered tacitly authorized.</w:t>
      </w:r>
    </w:p>
    <w:p>
      <w:r>
        <w:t>31. The interested parties in this file are:</w:t>
        <w:br/>
        <w:t>- HELIOS HEALTH CARE SPAIN, S.L.U. (Grupo QUIRÓN)</w:t>
        <w:br/>
        <w:t>- SEGURCAIXA ADESLAS, S.A. DE SEGUROS Y REASEGUROS</w:t>
        <w:br/>
        <w:t>- ASISA, ASISTENCIA SANITARIA INTERPROVINCIAL DE SEGUROS, S.A. SOCIEDAD UNIPERSONAL</w:t>
        <w:br/>
        <w:t>- HM HOSPITALES 1989, S.A.</w:t>
        <w:br/>
        <w:t>- HLA LAVINIA SALUD S.L.</w:t>
      </w:r>
    </w:p>
    <w:p>
      <w:r>
        <w:t>LEGAL FOUNDATIONS</w:t>
      </w:r>
    </w:p>
    <w:p>
      <w:r>
        <w:t>First.- In accordance with Article 58.4 of the LDC, based on the final resolution proposal from the Competition Directorate, the Competition Chamber shall, in the second phase, make a decision in which it may: a) authorize the concentration; b) condition the authorization of the concentration on the fulfillment of certain commitments proposed by the notifying parties or conditions; c) prohibit the concentration; or d) agree to file the proceedings in the cases provided for in the Law.</w:t>
      </w:r>
    </w:p>
    <w:p>
      <w:r>
        <w:t>Second.- In accordance with the provisions of Article 59 of the LDC, and in order to resolve the possible obstacles to maintaining effective competition that had been detected, the notifying party submitted on January 24, 2019, along with the written statement of allegations to the statement of facts, a proposal of commitments under Article 59 of the LDC (pages 4273-4278, non-confidential version), aimed at resolving the obstacles to maintaining effective competition that could arise from the notified concentration operation. In the statement of allegations, the notifying party indicates that, despite not agreeing with the content and conclusions of the statement of facts, it presents the commitments to address the obstacles to competition identified by the Competition Directorate. On February 5, after analyzing the commitments submitted in accordance with Article 69.4 of the LDC, the Competition Directorate considered them insufficient to eliminate the obstacles to competition identified in the statement of facts dated January 2, 2019, and therefore sent a written communication to the notifying party (pages 4413-4415, non-confidential version) granting a period of 10 days for it to submit a new version of commitments, if deemed appropriate. On February 19, the notifying party sent a new proposal of commitments to the Directorate in which some of the aspects identified as insufficient in the request from the Competition Directorate dated February 5 were modified. In light of this new submission of commitments, the Competition Directorate launched a market test to various entities interested in the procedure to assess the commitments presented. After the responses to the market test, and in view of the file, the notifying party submitted a third proposal of commitments (pages 5108-5116, non-confidential version) indicating that, in general, the operators are favorable to the commitments presented by Grupo QUIRÓN. On April 5, 2019, the notifying party submitted a final version of commitments (pages 5186 to 5199). These final commitments are the</w:t>
      </w:r>
    </w:p>
    <w:p>
      <w:r>
        <w:rPr>
          <w:b/>
        </w:rPr>
        <w:t>[Pages 7–9]</w:t>
      </w:r>
    </w:p>
    <w:p>
      <w:r>
        <w:t>analyzed in the proposal report submitted by the Competition Directorate and in this resolution.</w:t>
      </w:r>
    </w:p>
    <w:p>
      <w:r>
        <w:t>The commitments (the original wording of which is included in the proposal report of the Competition Directorate as an annex) can be summarized in the following sections.</w:t>
      </w:r>
    </w:p>
    <w:p>
      <w:r>
        <w:t>Commitments related to the provision of private healthcare services to private patients</w:t>
      </w:r>
    </w:p>
    <w:p>
      <w:r>
        <w:t>Within this section, the commitment to maintain the quality of care stands out, for which the notifying party commits to implement, within a period not exceeding 12 months from the closing date of the operation, the dashboards of the QUIRÓN Group (Annex I) at the Santa Cristina Clinic, as well as the specific quality indicators set forth in Annex II of the commitments. The notifying party commits to ensuring that the indicators do not deteriorate from the moment of joint management.</w:t>
      </w:r>
    </w:p>
    <w:p>
      <w:r>
        <w:t>Additionally, the notifying party commits to obtaining ISO 9001 certification for the entire CSC center and to monitoring the quality indicators, presenting the results annually, with the objective that the quality indicators do not worsen from the moment the QUIRÓN Group begins to manage the two centers.</w:t>
      </w:r>
    </w:p>
    <w:p>
      <w:r>
        <w:t>Thirdly, the QUIRÓN Group commits to maintaining the ability of patients to choose healthcare professionals, maintaining the legal relationship with all doctors currently providing services at QuirónAlbacete and/or at CSC. Regarding contractual renewals, the QUIRÓN Group commits to negotiating on reasonable, objective, and non-discriminatory terms and not to include any clause regarding the transfer by doctors of medical keys.</w:t>
      </w:r>
    </w:p>
    <w:p>
      <w:r>
        <w:t>Also in relation to the quality of care, the notifying party commits to maintaining the overall service portfolio, keeping the levels of on-call services and locations, as well as the various specialties existing between the two centers. To facilitate the monitoring of compliance with this commitment, the QUIRÓN Group commits to keeping the websites of the centers updated with the specialties offered.</w:t>
      </w:r>
    </w:p>
    <w:p>
      <w:r>
        <w:t>In particular, regarding the maintenance of the service portfolio, the commitments guarantee that none of the specialties currently offered at either of the two centers will be closed, except for patient safety reasons, which must be expressly authorized, in any case, by the CNMC. Furthermore, any request from the QUIRÓN Group in this regard must be supported by a report from an independent third party.</w:t>
      </w:r>
    </w:p>
    <w:p>
      <w:r>
        <w:t>Additionally, concerning the specialties of Cardiology, Nuclear Medicine, Pulmonology, Neurology, Pediatrics, Angiology, Vascular Surgery, Thoracic Surgery, Maxillofacial Surgery, Geriatrics, Nephrology, and Palliative Care, an additional guarantee is established as the closure of these specialties cannot be requested unless it is due to exceptional circumstances.</w:t>
      </w:r>
    </w:p>
    <w:p>
      <w:r>
        <w:t>To this end, to improve quality, the QUIRÓN Group will make a minimum investment of 1.5 million euros over 3 years, according to the breakdown indicated in the commitments, an investment that will be conditioned on the new equipment improving the quality or functioning of the existing ones.</w:t>
      </w:r>
    </w:p>
    <w:p>
      <w:r>
        <w:t>Finally, the QUIRÓN Group commits to providing the CNMC annually with data on the evolution of rental prices for consultations and operating rooms and the prices of the 10 highest billing processes for services to private and public patients.</w:t>
      </w:r>
    </w:p>
    <w:p>
      <w:r>
        <w:t>Commitments related to the provision of private healthcare services to public patients.</w:t>
      </w:r>
    </w:p>
    <w:p>
      <w:r>
        <w:t>Regarding the provision of healthcare services to public patients referred by SESCAM, the notifying party commits to:</w:t>
        <w:br/>
        <w:t>- Not conditioning the provision of a service on the joint contracting of other services.</w:t>
        <w:br/>
        <w:t>- Not denying SESCAM the execution of processes that it currently has linked.</w:t>
        <w:br/>
        <w:t>- Offering in the Linking Agreement with SESCAM at least the same processes that it currently has.</w:t>
      </w:r>
    </w:p>
    <w:p>
      <w:r>
        <w:t>These commitments are subject to SESCAM maintaining the existing rates and not being forced to use more expensive technology.</w:t>
      </w:r>
    </w:p>
    <w:p>
      <w:r>
        <w:t>Likewise, in relation to the market for providing private healthcare services to public patients, the QUIRÓN Group commits to maintaining the conditions currently linking CSC and MANSILLA for a period of 5 years.</w:t>
      </w:r>
    </w:p>
    <w:p>
      <w:r>
        <w:t>Commitments related to the rental/transfer of healthcare spaces</w:t>
      </w:r>
    </w:p>
    <w:p>
      <w:r>
        <w:t>The QUIRÓN Group commits to ensuring access for medical professionals who currently rent spaces in the QuirónAlbacete or CSC centers. As an exception, the QUIRÓN Group does not guarantee such access when it does not have the physical or material means to meet the requests or when it may cause harm to the image of Quirónsalud in the market.</w:t>
      </w:r>
    </w:p>
    <w:p>
      <w:r>
        <w:t>In this regard, it will be understood, according to the commitments presented, that such harm occurs when there are formal complaints from patients, a breach of the safety protocol, or deficiencies in the following elements:</w:t>
        <w:br/>
        <w:t>- Accredited medical qualification in the specialty to be practiced;</w:t>
        <w:br/>
        <w:t>- Civil liability insurance;</w:t>
        <w:br/>
        <w:t>- Obtaining informed consent from the patient;</w:t>
        <w:br/>
        <w:t>- Use of the medical history and computer system of Quirónsalud;</w:t>
        <w:br/>
        <w:t>- Use of prosthetics from the catalog validated by Quirónsalud and compliance with the traceability requirements of prosthetics and other implantables.</w:t>
      </w:r>
    </w:p>
    <w:p>
      <w:r>
        <w:t>In any case, regarding the possibility that healthcare professionals may use prosthetics not in their catalog, the QUIRÓN Group commits to studying and not unjustifiably denying the inclusion in its catalog of the prosthetics proposed by the doctors.</w:t>
        <w:br/>
        <w:t>- Recording of adverse events</w:t>
        <w:br/>
        <w:t>- Acceptance of the ethical code of Quirónsalud</w:t>
      </w:r>
    </w:p>
    <w:p>
      <w:r>
        <w:t>An annual record of requests with opposition will be sent to the CNMC. For those doctors who access the centers through medical societies, the QUIRÓN Group commits to allowing direct access under market conditions, requiring compliance with quality standards that ensure the clinical safety of the patient.</w:t>
      </w:r>
    </w:p>
    <w:p>
      <w:r>
        <w:t>General commitments for the improvement of the service portfolio, quality of care, and patient safety.</w:t>
      </w:r>
    </w:p>
    <w:p>
      <w:r>
        <w:t>Within 12 months, the QUIRÓN Group commits to implementing and maintaining at the CSC Clinic the services of: (i) pediatric emergencies 24 hours, (ii) neonatology unit according to the standards recommended by the Spanish Society of Neonatology, (iii) gynecological and obstetric emergencies, (iv) 24-hour trauma emergencies, and (v) natural childbirth unit.</w:t>
      </w:r>
    </w:p>
    <w:p>
      <w:r>
        <w:t>The closure of any of these services if demand levels make their maintenance unfeasible will only be possible with prior authorization from the Competition Directorate.</w:t>
      </w:r>
    </w:p>
    <w:p>
      <w:r>
        <w:t>Likewise, the QUIRÓN Group commits to implementing at CSC a series of tools such as: the patient medical history, the patient portal, a system for recording and controlling adverse elements, and the Net Promoter Score (NPS) system. Regarding the NPS system, the QUIRÓN Group commits to implementing it at the Santa Cristina Clinic and maintaining at least the previous quality levels at QuirónAlbacete and to improving them, within two years, at the Santa Cristina Clinic.</w:t>
      </w:r>
    </w:p>
    <w:p>
      <w:r>
        <w:t>Audit</w:t>
      </w:r>
    </w:p>
    <w:p>
      <w:r>
        <w:t>The monitoring of the quality commitments included in commitments A and D, including the improvement of the service portfolio through the opening of new specialties, will be entrusted to one of the companies that have offered to provide services during the processing of the file. This company will be responsible for monitoring for the entire duration of the commitments.</w:t>
      </w:r>
    </w:p>
    <w:p>
      <w:r>
        <w:t>The QUIRÓN Group commits to informing the CNMC, within 3 months from the authorization, of the company that will carry out the services.</w:t>
      </w:r>
    </w:p>
    <w:p>
      <w:r>
        <w:rPr>
          <w:b/>
        </w:rPr>
        <w:t>[Pages 10–11]</w:t>
      </w:r>
    </w:p>
    <w:p>
      <w:r>
        <w:t>The supervising entity shall send an annual report to the Competition Directorate in which it reports on the degree of implementation and compliance with the commitments. The first report must be submitted within no more than one year and one month from the authorization of the operation. Additionally, Grupo QUIRÓN commits to sending a detailed report on the progress in the implementation of the commitments after 6 months from the authorization.</w:t>
      </w:r>
    </w:p>
    <w:p>
      <w:r>
        <w:t>Dispute Resolution</w:t>
      </w:r>
    </w:p>
    <w:p>
      <w:r>
        <w:t>Quirón commits to submitting the resolution of conflicts that may arise in relation to the compliance with commitments A.2, B.4, and C.1, that is, the commitments to maintain legal relationships with professionals, the maintenance of the conditions of MANSILLA, and the commitments to access the facilities, to arbitration under the law by the CNCM. Likewise, Grupo QUIRÓN will duly inform the affected professionals about the existence of these commitments, as well as the possibility of resorting to arbitration.</w:t>
      </w:r>
    </w:p>
    <w:p>
      <w:r>
        <w:t>Third.- This Competition Chamber, having reviewed the processed file and analyzed the report on the operation, agrees with the assessment of the Competition Directorate included in the proposed resolution and considers that the set of commitments proposed by the notifying party, attached to the proposed report, is sufficient and proportionate to compensate for the risks of hindering effective competition, arising from the concentration operation that had been detected and that were included in the PCH.</w:t>
      </w:r>
    </w:p>
    <w:p>
      <w:r>
        <w:t>Fourth.- In accordance with the provisions of Article 58.6 of the LDC, this resolution shall be executive when any of the cases provided for in that article are met.</w:t>
      </w:r>
    </w:p>
    <w:p>
      <w:r>
        <w:t>Fifth.- The non-compliance with the provisions of this resolution shall be considered a very serious infringement according to the provisions of Article 62.4. c) of the LDC.</w:t>
      </w:r>
    </w:p>
    <w:p>
      <w:r>
        <w:t>Therefore, in view of the cited legal provisions and those of general application, the Competition Chamber of the National Commission of Markets and Competition,</w:t>
      </w:r>
    </w:p>
    <w:p>
      <w:r>
        <w:t>HAS RESOLVED</w:t>
      </w:r>
    </w:p>
    <w:p>
      <w:r>
        <w:t>First.- In accordance with Article 58.4.b) of Law 15/2007, of July 3, on Competition Defense, to subordinate the authorization of concentration C/O966/18 QUIRÓN/CLÍNICA SANTA CRISTINA to the compliance with the commitments presented by QUIRÓN on April 5, 2019, attached to the proposed report of the Competition Directorate.</w:t>
      </w:r>
    </w:p>
    <w:p>
      <w:r>
        <w:t>Second.- Taking into account the Communication from the European Commission on restrictions directly linked to the execution of a concentration and necessary for that purpose (2005/C 56/03) and the practice of national competition authorities, the temporal scope of the non-compete clause, to the extent that it exceeds two years, and the material scope of the non-compete clause, insofar as it reaches any participation, including those for purely financial investment purposes, is subject to the own regulations of agreements between companies, as indicated in paragraphs (35) to (38) of the proposed report.</w:t>
      </w:r>
    </w:p>
    <w:p>
      <w:r>
        <w:t>Third.- The non-compliance with the provisions of this resolution is considered a very serious infringement according to the provisions of Article 62 of the LDC.</w:t>
      </w:r>
    </w:p>
    <w:p>
      <w:r>
        <w:t>Fourth.- By virtue of the provisions of Article 35.2.c) of the LDC, the monitoring of this resolution is entrusted to the Competition Directorate.</w:t>
      </w:r>
    </w:p>
    <w:p>
      <w:r>
        <w:t>This resolution shall be communicated to the Competition Directorate and to the Minister of Economy and Competitiveness, as provided for in Article 58.5 of the LDC. Likewise, it shall be notified to the interested parties, informing them that this Resolution will not be effective, nor executive, nor will it conclude the administrative procedure if none of the two cases provided for in letters a) or b) of Article 58.6 of the LDC occur and that against it, if the administrative route is exhausted, a contentious-administrative appeal may be filed before the National Court within two months from the notification of the agreements or from the day on which the deadline for issuing them has elapsed, as provided for in the aforementioned letters a) or b) of Article 58.6 of the LDC.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