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https://www.cnmc.es/expedientes/c096818</w:t>
      </w:r>
    </w:p>
    <w:p>
      <w:r>
        <w:t>Pages translated : 2</w:t>
      </w:r>
    </w:p>
    <w:p/>
    <w:p>
      <w:r>
        <w:rPr>
          <w:b/>
        </w:rPr>
        <w:t>[Pages 1–2]</w:t>
      </w:r>
    </w:p>
    <w:p>
      <w:r>
        <w:t>RESOLUTION</w:t>
        <w:br/>
        <w:t>File No. C/0968/18 SONOCO/CONITEX/COMPOSITUB</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The Competition Chamber has analyzed the merger file processed in accordance with Law 15/2007, of July 3, on the Defense of Competition, consisting of the acquisition by SONOCO PRODUCTS COMPANY (SONOCO) of exclusive control over CONITEX SONOCO (BVI), LTD (CONITEX), over which it already exercised joint control, and the business of COMPOSITUB, S.A.U. (COMPOSITUB). In accordance with the report and proposal submitted by the Competition Directorate, the Competition Chamber has resolved, under the application of Article 57.2.a) of the aforementioned Law 15/2007, of July 3, to authorize the aforementioned merger operation.</w:t>
        <w:br/>
        <w:t>Furthermore, taking into account the Communication from the European Commission regarding restrictions directly linked to the execution of a merger and necessary for that purpose (2005/C 56/03) and the practice of national competition authorities, this Competition Chamber considers that in relation to the Share Purchase Agreement and the Asset Purchase Agreement, both the content of the non-compete clauses, to the extent that they exceed the product and territorial scope that is transferred or in which the seller was present or planned to be present, and what is contemplated in the Communication regarding the holding of financial interests, as well as the duration of the non-compete and non-solicitation agreements, to the extent that they exceed two years, are considered unnecessary or accessory for the achievement of the operation, and will therefore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