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https://www.cnmc.es/expedientes/c096918</w:t>
      </w:r>
    </w:p>
    <w:p>
      <w:r>
        <w:t>Pages translated : 2</w:t>
      </w:r>
    </w:p>
    <w:p/>
    <w:p>
      <w:r>
        <w:rPr>
          <w:b/>
        </w:rPr>
        <w:t>[Pages 1–2]</w:t>
      </w:r>
    </w:p>
    <w:p>
      <w:r>
        <w:t>RESOLUTION</w:t>
        <w:br/>
        <w:t>File No. C/0969/18 AMPLIFON/GAES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September 27, 2018</w:t>
        <w:br/>
        <w:t>The Competition Chamber has analyzed the merger file processed in accordance with Law 15/2007, of July 3, on the Defense of Competition, consisting of the acquisition of exclusive control of the GAES group by AMPLIFON, S.p.A. In accordance with the report and proposal submitted by the Competition Directorate, the Competition Chamber has resolved, pursuant to article 57.2.a) of the aforementioned Law 15/2007, of July 3, to authorize the said merger operation.</w:t>
        <w:br/>
        <w:t>Furthermore, taking into account the Communication from the European Commission on restrictions directly linked to the execution of a merger and necessary for that purpose (2005/C 56/03) and the practice of national competition authorities, this Competition Chamber considers that the duration of the non-compete and non-solicitation agreements regarding sellers who are not employees of any of the acquired companies (3 years) goes beyond what is reasonably required by the notified merger operation, thus remaining subject to the general regulations applicable to agreements between companies that exceed 2 years. All of this in accordance with the indications in paragraph (15) of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