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https://www.cnmc.es/expedientes/c097118</w:t>
      </w:r>
    </w:p>
    <w:p>
      <w:r>
        <w:t>Pages translated : 1</w:t>
      </w:r>
    </w:p>
    <w:p/>
    <w:p>
      <w:r>
        <w:rPr>
          <w:b/>
        </w:rPr>
        <w:t>[Pages 1–1]</w:t>
      </w:r>
    </w:p>
    <w:p>
      <w:r>
        <w:t>RESOLUTION</w:t>
        <w:br/>
        <w:t>File No. C/0971/18 ENVISION / NISSAN</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13, 2018</w:t>
        <w:br/>
        <w:t xml:space="preserve">The Competition Chamber has analyzed the merger file processed in accordance with Law 15/2007, of July 3, on the Defense of Competition, consisting of the acquisition by ENVISION AESC HOLDING LTD of exclusive control over the business of research, development, and production of lithium-ion (Li-ion) batteries for electric vehicles from Nissan (hereinafter, the Business), through the purchase of the BUSINESS FROM NISSAN MOTOR CO., LTD. In accordance with the report and proposal submitted by the Directorate of Competition, the Competition Chamber has resolved, pursuant to Article 57.2.a) of the aforementioned Law 15/2007, of July 3, to authorize the aforementioned merger operation.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