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https://www.cnmc.es/expedientes/c097218</w:t>
      </w:r>
    </w:p>
    <w:p>
      <w:r>
        <w:t>Pages translated : 2</w:t>
      </w:r>
    </w:p>
    <w:p/>
    <w:p>
      <w:r>
        <w:rPr>
          <w:b/>
        </w:rPr>
        <w:t>[Pages 1–2]</w:t>
      </w:r>
    </w:p>
    <w:p>
      <w:r>
        <w:t>RESOLUTION</w:t>
        <w:br/>
        <w:t>Case File C/0972/18 EMERGENT BIOSOLUTIONS INC. -EBS- / PAXVAX HOLDING</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27, 2018</w:t>
        <w:br/>
        <w:t>The Competition Chamber has analyzed the merger case file processed in accordance with Law 15/2007, of July 3, on the Defense of Competition, consisting of the acquisition by EMERGENT BIOSOLUTIONS INC. (hereinafter EBS) of exclusive control of PAXVAX HOLDING COMPANY LTD. (hereinafter PAXVAX HOLDING) through the merger of the company PANAMA MERGER SUB, LTD., indirectly controlled 100% by EBS, with PAXVAX HOLDING, with the latter remaining as a subsidiary indirectly controlled 100% by EBS. In accordance with the report and proposal submitted by the Competition Directorate, the Competition Chamber has resolved, under Article 57.2.a) of the aforementioned Law 15/2007, of July 3, to authorize the aforementioned merger operation.</w:t>
        <w:br/>
        <w:t>Furthermore, taking into account the Communication from the European Commission on restrictions directly linked to the execution of a merger and necessary for that purpose (2005/C 56/03) and the practice of national competition authorities, this Competition Chamber considers that in the present case the content of the non-compete clause, regarding its geographical scope and protected products, extends beyond what is established in the Communication in what exceeds strictly the Transferred Business and the geographical areas where the sellers were present or had planned to enter at the time of the transaction, as well as in any restriction that prevents the acquisition or holding of shares in a company that competes with the acquired company for exclusively financial investment purposes that do not confer directly or indirectly management functions or substantial influence in the competing company, and therefore is not considered necessary or accessory to the merger operation. Likewise, regarding the duration of the non-compete and confidentiality clauses, anything exceeding the 3 years of protection established in the Communication for already marketed products goes beyond what is reasonable for the achievement of the operation, and is not considered necessary or accessory, thus remaining subject to the regulations on agreements between companies.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