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https://www.cnmc.es/expedientes/c097318</w:t>
      </w:r>
    </w:p>
    <w:p>
      <w:r>
        <w:t>Pages translated : 2</w:t>
      </w:r>
    </w:p>
    <w:p/>
    <w:p>
      <w:r>
        <w:rPr>
          <w:b/>
        </w:rPr>
        <w:t>[Pages 1–2]</w:t>
      </w:r>
    </w:p>
    <w:p>
      <w:r>
        <w:t>RESOLUTION</w:t>
        <w:br/>
        <w:t>File No. C/0973/18 ALLIANZ PARTNERS / MULTIASISTENCIA</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27, 2018</w:t>
        <w:br/>
        <w:t>The Competition Chamber has analyzed the concentration file processed in accordance with Law 15/2007, of July 3, on the Defense of Competition, consisting of the acquisition of exclusive control of SERVICIOS COMPARTIDOS MULTIASISTENCIA, S.L., by ALLIANZ PARTNERS SAS, through a Share Purchase Agreement signed on July 20, 2018. In accordance with the report and proposal submitted by the Competition Directorate, the Competition Chamber has resolved, applying Article 57.2.a) of the aforementioned Law 15/2007, of July 3, to authorize the said concentration operation.</w:t>
        <w:br/>
        <w:t>Furthermore, taking into account the Communication from the European Commission regarding restrictions directly linked to the execution of a concentration and necessary for that purpose (2005/C 56/03) and the practice of national competition authorities, this Competition Chamber considers that the restriction on the acquisition of shares that, exceeding 5% and being for investment purposes, do not confer management functions or substantial influence, must be excluded from the authorization and therefore subject to the regulations on agreements between companies, in relation to the non-compete clause. All of this in accordance with what is indicated in paragraph (14) of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