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https://www.cnmc.es/expedientes/c097518</w:t>
      </w:r>
    </w:p>
    <w:p>
      <w:r>
        <w:t>Pages translated : 2</w:t>
      </w:r>
    </w:p>
    <w:p/>
    <w:p>
      <w:r>
        <w:rPr>
          <w:b/>
        </w:rPr>
        <w:t>[Pages 1–2]</w:t>
      </w:r>
    </w:p>
    <w:p>
      <w:r>
        <w:t>RESOLUTION</w:t>
        <w:br/>
        <w:t>File No. C/0975/18 REPSOL/VIESGO</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r>
    </w:p>
    <w:p>
      <w:r>
        <w:t>The Competition Chamber has analyzed the concentration file processed in accordance with Law 15/2007, of July 3, on the Defense of Competition, consisting of the acquisition by REPSOL, S.A. of exclusive control over the business of VIESGO GENERACIÓN, S.L.U. in (i) energy generation through hydraulic and combined cycle plants and (ii) electricity and gas marketing activities. According to the report and proposal submitted by the Directorate of Competition, the Competition Chamber has resolved, in application of Article 57.2.a) of the aforementioned Law 15/2007, of July 3, to authorize the said concentration operation.</w:t>
      </w:r>
    </w:p>
    <w:p>
      <w:r>
        <w:t>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the following restrictions do not have the status of ancillary to the operation and, therefore, are subject to the regulations on agreements between companies:</w:t>
        <w:br/>
        <w:t>i) the scope of the non-compete clause, regarding the limitation imposed on the selling party that prevents it from acquiring or holding shares or economic interests in gas and electricity marketers for exclusively financial investment purposes that do not confer directly or indirectly management functions or substantial influence in the competing company.</w:t>
        <w:br/>
        <w:t>ii) the duration of the licensing agreement, as far as it exceeds the period granted by the “Resolution of the procedure for the adoption of a binding Decision regarding the effective compliance with the legal obligation by the reference distribution and marketing companies belonging to integrated groups, not to create confusion for consumers, in the information, in the brand presentation and in the brand image” approved by the CNMC on September 6, 2018 (DJV/DE/001/18), to comply with the measures related to brand presentation, brand image, and information to consumers.</w:t>
        <w:br/>
        <w:t>iii) the transitional services agreement, under which REPSOL will provide VIESGO with certain services related to coal plants, as it could restrict competition in the market for resolving technical restrictions in the Campo de Gibraltar Area, which would constitute a violation of Article 1 of Law 15/2007, of July 3, on the Defense of Competition.</w:t>
      </w:r>
    </w:p>
    <w:p>
      <w:r>
        <w:t>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