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https://www.cnmc.es/expedientes/c097618</w:t>
      </w:r>
    </w:p>
    <w:p>
      <w:r>
        <w:t>Pages translated : 1</w:t>
      </w:r>
    </w:p>
    <w:p/>
    <w:p>
      <w:r>
        <w:rPr>
          <w:b/>
        </w:rPr>
        <w:t>[Pages 1–1]</w:t>
      </w:r>
    </w:p>
    <w:p>
      <w:r>
        <w:t>RESOLUTION</w:t>
        <w:br/>
        <w:t>File No. C/0976/18 TEOFARMA/UCB PHARMA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 xml:space="preserve">The Competition Chamber has analyzed the merger file processed in accordance with Law 15/2007, of July 3, on the Defense of Competition, consisting of the acquisition by TEOFARMA S.R.L. of exclusive control over the assets related to the manufacturing and marketing of the drugs SEPTRIN, IMUREL, and OFTALMOWELL, belonging to UCB PHARMA, S.A. In accordance with the report and proposal submitted by the Competition Directorate, the Competition Chamber has resolved, applying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