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https://www.cnmc.es/expedientes/c097718</w:t>
      </w:r>
    </w:p>
    <w:p>
      <w:r>
        <w:t>Pages translated : 2</w:t>
      </w:r>
    </w:p>
    <w:p/>
    <w:p>
      <w:r>
        <w:rPr>
          <w:b/>
        </w:rPr>
        <w:t>[Pages 1–2]</w:t>
      </w:r>
    </w:p>
    <w:p>
      <w:r>
        <w:t>RESOLUTION</w:t>
        <w:br/>
        <w:t>File No. C/0977/18 PROA CAPITAL/SC HIDROENERGÍA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October 4, 2018</w:t>
        <w:br/>
        <w:t xml:space="preserve">The Competition Chamber has analyzed the concentration file processed in accordance with Law 15/2007, of July 3, on the Defense of Competition, consisting of the acquisition of exclusive control by ZEBINA INVESTMENTS S.A.U., a company wholly owned by PROA CAPITAL IBERIAN BUYOUT FUND II, F.C.R., of all the shares of the company SC HIDROENERGÍA IBÉRICA S.L. (SC HIDROENERGÍA IBÉRICA), a subsidiary of the investment company SUCELLOS INVERSIONES, S.L., which oversees a group of companies primarily engaged in the generation of electricity from renewable energies, cogeneration, and waste combustion, and its subsequent marketing in the retail market, and, likewise, alongside these activities, those of: (i) freshwater aquaculture, (ii) road transport, (iii) manufacturing of industrial gases, (iv) retail supply of gas and electricity, (v) technical engineering services (construction and maintenance), and (vi) processing and preservation of fish, shellfish, and mollusks. In accordance with the report and proposal submitted by the Competition Directorate, the Competition Chamber has resolved, under the application of Article 57.2.a) of the aforementioned Law 15/2007, of July 3, to authorize the aforementioned concentration operation. </w:t>
        <w:br/>
        <w:t xml:space="preserve">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non-competition clause contained in the Shareholders' Agreement, despite its designation, constitutes a limitation on the ability of the managing partners to act after the termination of their employment and commercial relationship with the resulting entity, subject to the provisions of the specific regulations applicable to it, is not ancillary nor falls within the scope of the present operation. All of this in accordance with what is indicated in the aforementioned report proposal from the Competition Directorate.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