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https://www.cnmc.es/expedientes/c097818</w:t>
      </w:r>
    </w:p>
    <w:p>
      <w:r>
        <w:t>Pages translated : 2</w:t>
      </w:r>
    </w:p>
    <w:p/>
    <w:p>
      <w:r>
        <w:rPr>
          <w:b/>
        </w:rPr>
        <w:t>[Pages 1–2]</w:t>
      </w:r>
    </w:p>
    <w:p>
      <w:r>
        <w:t>RESOLUTION</w:t>
        <w:br/>
        <w:t>File No. C/0978/18 BLUE OCEAN ENTERTAINMENT/HEINRICH BAUER EDITIONS</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October 4, 2018</w:t>
        <w:br/>
        <w:t>The Competition Chamber has analyzed the merger file processed in accordance with Law 15/2007, of July 3, on the Defense of Competition, notification regarding the acquisition by BLUE OCEAN ENTERTAINMENT, A.G. (BURDA GROUP) of exclusive control over HEINRICH BAUER EDICIONES, S.L. (HBE). In accordance with the report and proposal submitted by the Competition Directorate, the Competition Chamber has resolved, in application of article 57.2.a) of the aforementioned Law 15/2007, of July 3, to authorize the merger.</w:t>
        <w:br/>
        <w:t>Furthermore, and taking into account the Communication from the European Commission on restrictions directly linked to the execution of a merger and necessary for that purpose (2005/C 56/03) and the practice of national competition authorities, this Competition Chamber considers that the confidentiality agreement exceeding three years is not regarded as an ancillary and necessary restriction for the operation, and therefore will be subject to the regulations regarding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