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https://www.cnmc.es/expedientes/c098018</w:t>
      </w:r>
    </w:p>
    <w:p>
      <w:r>
        <w:t>Pages translated : 1</w:t>
      </w:r>
    </w:p>
    <w:p/>
    <w:p>
      <w:r>
        <w:rPr>
          <w:b/>
        </w:rPr>
        <w:t>[Pages 1–1]</w:t>
      </w:r>
    </w:p>
    <w:p>
      <w:r>
        <w:t>RESOLUTION</w:t>
        <w:br/>
        <w:t>File No. C/0980/18 BP PETROCORNER</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December 13, 2018</w:t>
        <w:br/>
        <w:t xml:space="preserve">The Competition Chamber has analyzed the concentration file processed in accordance with Law 15/2007, of July 3, on the Defense of Competition, notification consisting of the acquisition by BP OIL ESPAÑA, S.A.U. (BP) of 100% of the share capital of PETROCORNER RETAIL, S.L.U. (PETROCORNER) and KINGBOOK INVERSIONES SOCIMI, S.A. (KINGBOOK), which entails the acquisition of 65 service stations (hereinafter EESS) in Spain. According to the report and the proposal submitted by the Directorate of Competition, the Competition Chamber has resolved, in application of Article 57.2.b) of the aforementioned Law 15/2007, of July 3, to authorize the aforementioned concentration operation, subject to compliance with the commitments presented by the notifier on December 5, 2018. </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