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https://www.cnmc.es/expedientes/c098118</w:t>
      </w:r>
    </w:p>
    <w:p>
      <w:r>
        <w:t>Pages translated : 2</w:t>
      </w:r>
    </w:p>
    <w:p/>
    <w:p>
      <w:r>
        <w:rPr>
          <w:b/>
        </w:rPr>
        <w:t>[Pages 1–2]</w:t>
      </w:r>
    </w:p>
    <w:p>
      <w:r>
        <w:t>RESOLUTION</w:t>
        <w:br/>
        <w:t>File No. C/0981/18 VÄRDE / AELCA</w:t>
        <w:br/>
        <w:t>COMPETITION CHAMBER</w:t>
        <w:br/>
        <w:t>President</w:t>
        <w:br/>
        <w:t>Mr. José María Marín Quemada</w:t>
        <w:br/>
        <w:t>Counselors</w:t>
        <w:br/>
        <w:t>Ms. María Ortiz Aguilar</w:t>
        <w:br/>
        <w:t>Mr. Josep María Guinart Solà</w:t>
        <w:br/>
        <w:t>Ms. Clotilde de la Higuera González</w:t>
        <w:br/>
        <w:t>Secretary of the Council</w:t>
        <w:br/>
        <w:t>Mr. Joaquim Hortalà i Vallvé</w:t>
        <w:br/>
        <w:t>In Madrid, October 30, 2018</w:t>
        <w:br/>
        <w:t xml:space="preserve">The Competition Chamber has analyzed the concentration file processed in accordance with Law 15/2007, of July 3, on the Defense of Competition, notification consisting of the transition from joint control exercised by VÄRDE PARTNERS INC (VÄRDE) and MYJOJA INVERSIONES S.L. (MYJOJA) to exclusive indirect control by VÄRDE over AELCA DESARROLLOS INMOBILIARIOS (AELCA), 8 subsidiaries of AELCA (Habitatio Urbana SLU, Novosolum Urbana SLU, Velan Urbana SLU, Ponsnova Inmuebles SLU, Campuslar Inmuebles SLU, Segeslar Inmuebles SLU, Generlar Inmuebles SLU, Numen Inmuebles SLU) and 7 investment holding companies, collectively referred to as the Investment SPVs (Promyva Inmuebles SL, Myvain Inmuebles SL, Inmavy Urbana SL, Nalentia Urbana SL, Nirbe Inmuebles SL, Nirbe Meseta SL, and Nirbe Costa Norte SL) along with the wholly owned subsidiaries of the latter (collectively referred to as the Project SPVs), through two interrelated transactions. In accordance with the report and proposal submitted by the Competition Directorate, the Competition Chamber has resolved, pursuant to Article 57.2.a) of the aforementioned Law 15/2007, of July 3, to authorize the aforementioned concentration operation. </w:t>
        <w:br/>
        <w:t>Likewise, it is necessary to analyze the operation taking into account the Communication from the European Commission on restrictions directly linked to the execution of a concentration and necessary for that purpose (2005/C 56/03) and the practice of national competition authorities. In this regard, this Chamber considers outside the operation and therefore subject to the regulations on agreements between companies, (1st) the non-compete agreement to the extent that it exceeds the Spanish provinces in which the acquired entity was active prior to the transfer and (2nd) the non-solicitation agreement, to the extent that it exceeds a duration of two years. All of this in accordance with the indications in the aforementioned report proposal from the Competition Directorate.</w:t>
        <w:br/>
        <w:t>This Resolution shall be communicated to the Competition Directorate of the National Commission on Markets and Competition and notified to the interested party, informing them that it concludes the administrative process and that a contentious-administrative appeal may be filed against it before the National Court, within a period of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