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https://www.cnmc.es/expedientes/c098218</w:t>
      </w:r>
    </w:p>
    <w:p>
      <w:r>
        <w:t>Pages translated : 1</w:t>
      </w:r>
    </w:p>
    <w:p/>
    <w:p>
      <w:r>
        <w:rPr>
          <w:b/>
        </w:rPr>
        <w:t>[Pages 1–1]</w:t>
      </w:r>
    </w:p>
    <w:p>
      <w:r>
        <w:t>RESOLUTION</w:t>
        <w:br/>
        <w:t>File No. C/0982/18 MIROVA/COPISA CONCESSIONS</w:t>
        <w:br/>
        <w:t>COMPETITION CHAMBER</w:t>
        <w:br/>
        <w:t>President</w:t>
        <w:br/>
        <w:t>Ms. María Ortiz Aguilar</w:t>
        <w:br/>
        <w:t>Counselors</w:t>
        <w:br/>
        <w:t>Mr. Josep María Guinart Solà</w:t>
        <w:br/>
        <w:t>Ms. Clotilde de la Higuera González</w:t>
        <w:br/>
        <w:t>Ms. María Pilar Canedo Arrillaga</w:t>
        <w:br/>
        <w:t>Secretary of the Council</w:t>
        <w:br/>
        <w:t>Mr. Joaquim Hortalà i Vallvé</w:t>
        <w:br/>
        <w:t>In Madrid, October 18, 2018</w:t>
      </w:r>
    </w:p>
    <w:p>
      <w:r>
        <w:t>The Competition Chamber has analyzed the concentration file processed in accordance with Law 15/2007, of July 3, on the Defense of Competition, regarding the acquisition by CORE INFRASTRUCTURE II S.à.r.l. (CORE INFRASTRUCTURE) of exclusive control of COPISA CONCESIONES, S.A. (COPISA). In accordance with the report and proposal submitted by the Competition Directorate, the Competition Chamber has resolved, pursuant to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