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https://www.cnmc.es/expedientes/c098318</w:t>
      </w:r>
    </w:p>
    <w:p>
      <w:r>
        <w:t>Pages translated : 1</w:t>
      </w:r>
    </w:p>
    <w:p/>
    <w:p>
      <w:r>
        <w:rPr>
          <w:b/>
        </w:rPr>
        <w:t>[Pages 1–1]</w:t>
      </w:r>
    </w:p>
    <w:p>
      <w:r>
        <w:t>RESOLUTION</w:t>
        <w:br/>
        <w:t>CASE FILE C/0983/18 FRAGADIS / SUCCESSORS OF PEDRO SORIANO</w:t>
        <w:br/>
        <w:t>COMPETITION CHAMBER</w:t>
        <w:br/>
        <w:t>President</w:t>
        <w:br/>
        <w:t>Mr. José María Marín Quemada</w:t>
        <w:br/>
        <w:t>Counselors</w:t>
        <w:br/>
        <w:t>Ms. María Ortiz Aguilar</w:t>
        <w:br/>
        <w:t>Mr. Josep María Guinart Solà</w:t>
        <w:br/>
        <w:t>Ms. Clotilde de la Higuera González</w:t>
        <w:br/>
        <w:t>Secretary of the Council</w:t>
        <w:br/>
        <w:t>Mr. Joaquim Hortalà i Vallvé</w:t>
        <w:br/>
        <w:t>In Madrid, October 30, 2018</w:t>
        <w:br/>
        <w:t xml:space="preserve">The Competition Chamber has analyzed the concentration case file processed in accordance with Law 15/2007, of July 3, on the Defense of Competition, notification consisting of the exclusive control acquisition by FRAGADIS, S.L. (FRAGADIS) over SUCCESSORS OF PEDRO SORIANO BUFORN, S.L. (SP SORIANO), through a share purchase agreement signed on September 10, 2018. In accordance with the report and proposal submitted by the Competition Directorate, the Competition Chamber has resolved, applying Article 57.2.a) of the aforementioned Law 15/2007, of July 3, to authorize the aforementioned concentration operation. </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