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https://www.cnmc.es/expedientes/c098418</w:t>
      </w:r>
    </w:p>
    <w:p>
      <w:r>
        <w:t>Pages translated : 1</w:t>
      </w:r>
    </w:p>
    <w:p/>
    <w:p>
      <w:r>
        <w:rPr>
          <w:b/>
        </w:rPr>
        <w:t>[Pages 1–1]</w:t>
      </w:r>
    </w:p>
    <w:p>
      <w:r>
        <w:t>RESOLUTION</w:t>
        <w:br/>
        <w:t>File No. C/0984/18 BLACKSTONE/TESTA</w:t>
        <w:br/>
        <w:t>COMPETITION CHAMBER</w:t>
        <w:br/>
        <w:t>President</w:t>
        <w:br/>
        <w:t>Mr. José María Marín Quemada</w:t>
        <w:br/>
        <w:t>Counselors</w:t>
        <w:br/>
        <w:t>Ms. María Ortiz Aguilar</w:t>
        <w:br/>
        <w:t>Mr. Josep María Guinart Solà</w:t>
        <w:br/>
        <w:t>Ms. Clotilde de la Higuera González</w:t>
        <w:br/>
        <w:t>Secretary of the Council</w:t>
        <w:br/>
        <w:t>Mr. Joaquim Hortalà i Vallvé</w:t>
        <w:br/>
        <w:t>In Madrid, October 30, 2018</w:t>
        <w:br/>
        <w:t xml:space="preserve">The Competition Chamber has analyzed the concentration file processed in accordance with Law 15/2007, of July 3, on the Defense of Competition, notification consisting of the acquisition of exclusive indirect control by THE BLACKSTONE GROUP L.P. (BLACKSTONE), through its subsidiary TROPIC REAL ESTATE HOLDING, S.L.U. (TROPIC), over TESTA RESIDENCIAL SOCIMI, S.A. (TESTA) through a share purchase. In accordance with the report and proposal submitted by the Competition Directorate, the Competition Chamber has resolved, applying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