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https://www.cnmc.es/expedientes/c098618</w:t>
      </w:r>
    </w:p>
    <w:p>
      <w:r>
        <w:t>Pages translated : 2</w:t>
      </w:r>
    </w:p>
    <w:p/>
    <w:p>
      <w:r>
        <w:rPr>
          <w:b/>
        </w:rPr>
        <w:t>[Pages 1–2]</w:t>
      </w:r>
    </w:p>
    <w:p>
      <w:r>
        <w:t>RESOLUTION</w:t>
        <w:br/>
        <w:t>File No. C/0986/18 REDEXIS / CEPSA GLP 2</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Barcelona, November 22, 2018</w:t>
        <w:br/>
        <w:t xml:space="preserve">The Competition Chamber has analyzed the concentration file processed in accordance with Law 15/2007, of July 3, on the Defense of Competition, notification consisting of the acquisition by REDEXIS GLP, S.L.U. (hereinafter, REDEXIS), of 539 piped LPG supply points located in the municipalities of […]1 (Zaragoza) and […] (León), along with certain ancillary installations to them, owned by CEPSA COMERCIAL PETRÓLEO, S.A.U. (hereinafter, CEPSA). According to the notifying party, this operation is merely a continuation of the operation authorized on February 2, 2017 (C/0827/17 REDEXIS/CEPSA GLP) by which REDEXIS GAS, S.A. (parent company of REDEXIS) acquired 4,696 LPG supply points owned by CEPSA. In accordance with the report and proposal submitted by the Directorate of Competition, the Competition Chamber has resolved, under the application of Article 57.2.a) of the aforementioned Law 15/2007, of July 3, to authorize the aforementioned concentration operation. </w:t>
        <w:br/>
        <w:t xml:space="preserve">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that the exclusivity in favor of CEPSA arising from the existing LPG supply Agreement between CEPSA and REDEXIS, to which the installations subject to the operation will be incorporated, is outside the operation and therefore subject to the regulations on agreements between companies. All of this in accordance with what is indicated in the aforementioned report proposal from the Directorate of Competition. </w:t>
        <w:br/>
        <w:t>1 The data whose exact content has been declared confidential is indicated in brackets.</w:t>
      </w:r>
    </w:p>
    <w:p>
      <w:r>
        <w:t>Communicate this Resolution to the Directorate of Competition of the National Commission of Markets and Competition and notify the interested party, informing them that this concludes the administrative process and that a contentious-administrative appeal can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