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https://www.cnmc.es/expedientes/c098918</w:t>
      </w:r>
    </w:p>
    <w:p>
      <w:r>
        <w:t>Pages translated : 2</w:t>
      </w:r>
    </w:p>
    <w:p/>
    <w:p>
      <w:r>
        <w:rPr>
          <w:b/>
        </w:rPr>
        <w:t>[Pages 1–2]</w:t>
      </w:r>
    </w:p>
    <w:p>
      <w:r>
        <w:t>RESOLUTION</w:t>
        <w:br/>
        <w:t>File No. C/0989/18 MODELO CONTINENTE/ MINORITY PARTNER/ARENAL</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November 29, 2018</w:t>
        <w:br/>
        <w:t>The Competition Chamber has analyzed the concentration file processed in accordance with Law 15/2007, of July 3, on the Defense of Competition, notification consisting of the joint control acquisition of ARENAL PERFUMERÍAS S.L. (“ARENAL”), by MODELO CONTINENTE HIPERMERCADOS, S.A., Branch in Spain (“MODELO CONTINENTE”), a subsidiary of the Portuguese group SONAE and two individuals acting jointly (“minority partner”). According to the report and the proposal submitted by the Directorate of Competition, the Competition Chamber has resolved, in application of Article 57.2.a) of the aforementioned Law 15/2007, of July 3, to authorize the said concentration operation.</w:t>
        <w:br/>
        <w:t>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In this regard, this Chamber considers outside the operation and therefore subject to the regulations on agreements between companies: (i) the duration of the non-compete and non-solicitation agreements included in the purchase agreement (3 and 5 years respectively) that are applicable to the seller, in all that exceeds 2 years and (ii) the non-compete and non-solicitation agreements included in the partnership agreement, which impose restrictions on competition both on the minority partner and on the management team of ARENAL, are not considered restrictions directly linked to the operation nor necessary for its execution, therefore they should not be understood as authorized with it. The same can be stated for the provisions for the development and expansion of the business of the parties in Spain and Portugal through ARENAL, included in the partnership agreement. All of this in accordance with what is indicated in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