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https://www.cnmc.es/expedientes/c099018</w:t>
      </w:r>
    </w:p>
    <w:p>
      <w:r>
        <w:t>Pages translated : 1</w:t>
      </w:r>
    </w:p>
    <w:p/>
    <w:p>
      <w:r>
        <w:rPr>
          <w:b/>
        </w:rPr>
        <w:t>[Pages 1–1]</w:t>
      </w:r>
    </w:p>
    <w:p>
      <w:r>
        <w:t>RESOLUTION</w:t>
        <w:br/>
        <w:t>File No. C/0990/18 ARMATI/SONAE/ IBERIAN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13, 2018</w:t>
        <w:br/>
        <w:t>The Competition Chamber has analyzed the merger file processed in accordance with Law 15/2007, of July 3, on the Defense of Competition, notification consisting of the joint control acquisition by TRENESMA LIMITED and SONAE S.G.P.S., over IBERIAN ASSETS, S.A. In accordance with the report and proposal submitted by the Competition Directorate, the Competition Chamber has resolved, pursuant to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