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https://www.cnmc.es/expedientes/c099118</w:t>
      </w:r>
    </w:p>
    <w:p>
      <w:r>
        <w:t>Pages translated : 2</w:t>
      </w:r>
    </w:p>
    <w:p/>
    <w:p>
      <w:r>
        <w:rPr>
          <w:b/>
        </w:rPr>
        <w:t>[Pages 1–2]</w:t>
      </w:r>
    </w:p>
    <w:p>
      <w:r>
        <w:t>RESOLUTION</w:t>
        <w:br/>
        <w:t>File No. C/0991/18 FSP/VIPS</w:t>
        <w:br/>
        <w:t>COMPETITION CHAMBER</w:t>
        <w:br/>
        <w:t>President</w:t>
        <w:br/>
        <w:t>Mr. José María Marín Quemada</w:t>
        <w:br/>
        <w:t>Counselors</w:t>
        <w:br/>
        <w:t>Ms. María Ortiz Aguilar</w:t>
        <w:br/>
        <w:t>Mr. Josep María Guinart Solà</w:t>
        <w:br/>
        <w:t>Ms. Clotilde de la Higuera González</w:t>
        <w:br/>
        <w:t>Ms. María Pilar Canedo Arrillaga</w:t>
        <w:br/>
        <w:t>Secretary of the Council</w:t>
        <w:br/>
        <w:t>Mr. Joaquim Hortalà i Vallvé</w:t>
        <w:br/>
        <w:t>In Madrid, December 13, 2018</w:t>
        <w:br/>
        <w:t>The Competition Chamber has analyzed the concentration file processed in accordance with Law 15/2007, of July 3, on the Defense of Competition, notification consisting of the acquisition of exclusive control by FOOD SERVICE PROJECT, S.L., over SIGLA, S.A. (GRUPO VIPS). In accordance with the report and proposal submitted by the Competition Directorate, the Competition Chamber has resolved, in application of article 57.2.a) of the aforementioned Law 15/2007, of July 3, to authorize the aforementioned concentration operation.</w:t>
        <w:br/>
        <w:t>Likewise, it is necessary to analyze the operation taking into account the Communication from the European Commission on restrictions directly linked to the execution of a concentration and necessary for that purpose (2005/C 56/03) and the practice of national competition authorities. In this regard, this Chamber considers that the territorial scope of the non-competition, non-solicitation, and confidentiality clauses included in clause 11.3 must be limited to the territory in which GRUPO VIPS has been carrying out its activity. On the other hand, the limitation of holdings in competing companies goes beyond what is indicated in the Communication, insofar as the contract limits such holdings to listed companies and to 1%, these agreements being subject to the regulations on agreements between companies as long as they exceed the limits accepted by the Communication. All of this in accordance with what is indicated in the aforementioned report proposal from the Competition Directorate.</w:t>
      </w:r>
    </w:p>
    <w:p>
      <w:r>
        <w:t>This Resolution shall be communicated to the Competition Directorate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